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D0D1" w14:textId="77777777" w:rsidR="00E0643C" w:rsidRPr="009E2216" w:rsidRDefault="00E0643C" w:rsidP="002A38DE">
      <w:pPr>
        <w:contextualSpacing/>
        <w:jc w:val="center"/>
        <w:rPr>
          <w:rFonts w:cs="Times New Roman"/>
          <w:b/>
          <w:sz w:val="28"/>
          <w:szCs w:val="28"/>
          <w:vertAlign w:val="subscript"/>
        </w:rPr>
      </w:pPr>
    </w:p>
    <w:p w14:paraId="14B3E212" w14:textId="77777777" w:rsidR="00824CA7" w:rsidRDefault="00824CA7" w:rsidP="002A38DE">
      <w:pPr>
        <w:contextualSpacing/>
        <w:jc w:val="center"/>
        <w:rPr>
          <w:rFonts w:cs="Times New Roman"/>
          <w:b/>
          <w:sz w:val="28"/>
          <w:szCs w:val="28"/>
        </w:rPr>
      </w:pPr>
    </w:p>
    <w:p w14:paraId="734C909A" w14:textId="30057D15" w:rsidR="0099172E" w:rsidRPr="009B4265" w:rsidRDefault="00CF3CCA" w:rsidP="00E0643C">
      <w:pPr>
        <w:contextualSpacing/>
        <w:rPr>
          <w:rFonts w:cs="Times New Roman"/>
          <w:sz w:val="28"/>
          <w:szCs w:val="28"/>
        </w:rPr>
      </w:pPr>
      <w:r w:rsidRPr="009B4265">
        <w:rPr>
          <w:rFonts w:cs="Times New Roman"/>
          <w:sz w:val="28"/>
          <w:szCs w:val="28"/>
        </w:rPr>
        <w:t xml:space="preserve">Forthcoming as a </w:t>
      </w:r>
      <w:r w:rsidR="009B4265" w:rsidRPr="009B4265">
        <w:rPr>
          <w:rFonts w:cs="Times New Roman"/>
          <w:sz w:val="28"/>
          <w:szCs w:val="28"/>
        </w:rPr>
        <w:t xml:space="preserve">Brookings Institution </w:t>
      </w:r>
      <w:r w:rsidRPr="009B4265">
        <w:rPr>
          <w:rFonts w:cs="Times New Roman"/>
          <w:sz w:val="28"/>
          <w:szCs w:val="28"/>
        </w:rPr>
        <w:t>Brown C</w:t>
      </w:r>
      <w:r w:rsidR="009B4265" w:rsidRPr="009B4265">
        <w:rPr>
          <w:rFonts w:cs="Times New Roman"/>
          <w:sz w:val="28"/>
          <w:szCs w:val="28"/>
        </w:rPr>
        <w:t>e</w:t>
      </w:r>
      <w:r w:rsidRPr="009B4265">
        <w:rPr>
          <w:rFonts w:cs="Times New Roman"/>
          <w:sz w:val="28"/>
          <w:szCs w:val="28"/>
        </w:rPr>
        <w:t>nter</w:t>
      </w:r>
      <w:r w:rsidR="0099172E" w:rsidRPr="009B4265">
        <w:rPr>
          <w:rFonts w:cs="Times New Roman"/>
          <w:sz w:val="28"/>
          <w:szCs w:val="28"/>
        </w:rPr>
        <w:t xml:space="preserve"> </w:t>
      </w:r>
      <w:r w:rsidR="009B4265" w:rsidRPr="009B4265">
        <w:rPr>
          <w:rFonts w:cs="Times New Roman"/>
          <w:sz w:val="28"/>
          <w:szCs w:val="28"/>
        </w:rPr>
        <w:t xml:space="preserve">Report </w:t>
      </w:r>
    </w:p>
    <w:p w14:paraId="5B545037" w14:textId="77777777" w:rsidR="00E0643C" w:rsidRDefault="00E0643C" w:rsidP="00E0643C">
      <w:pPr>
        <w:contextualSpacing/>
        <w:jc w:val="center"/>
        <w:rPr>
          <w:rFonts w:cs="Times New Roman"/>
          <w:b/>
          <w:sz w:val="28"/>
          <w:szCs w:val="28"/>
        </w:rPr>
      </w:pPr>
    </w:p>
    <w:p w14:paraId="4C9639F4" w14:textId="77777777" w:rsidR="0099172E" w:rsidRDefault="0099172E" w:rsidP="00E0643C">
      <w:pPr>
        <w:contextualSpacing/>
        <w:jc w:val="center"/>
        <w:rPr>
          <w:rFonts w:cs="Times New Roman"/>
          <w:b/>
          <w:sz w:val="36"/>
          <w:szCs w:val="36"/>
        </w:rPr>
      </w:pPr>
    </w:p>
    <w:p w14:paraId="3A3A15AA" w14:textId="77777777" w:rsidR="0099172E" w:rsidRDefault="0099172E" w:rsidP="00E0643C">
      <w:pPr>
        <w:contextualSpacing/>
        <w:jc w:val="center"/>
        <w:rPr>
          <w:rFonts w:cs="Times New Roman"/>
          <w:b/>
          <w:sz w:val="36"/>
          <w:szCs w:val="36"/>
        </w:rPr>
      </w:pPr>
    </w:p>
    <w:p w14:paraId="615DF44C" w14:textId="77777777" w:rsidR="00E0643C" w:rsidRPr="0093603C" w:rsidRDefault="00E0643C" w:rsidP="00E0643C">
      <w:pPr>
        <w:contextualSpacing/>
        <w:jc w:val="center"/>
        <w:rPr>
          <w:rFonts w:cs="Times New Roman"/>
          <w:b/>
          <w:sz w:val="36"/>
          <w:szCs w:val="36"/>
        </w:rPr>
      </w:pPr>
      <w:r w:rsidRPr="0093603C">
        <w:rPr>
          <w:rFonts w:cs="Times New Roman"/>
          <w:b/>
          <w:sz w:val="36"/>
          <w:szCs w:val="36"/>
        </w:rPr>
        <w:t>Educational Success in Two Inner London Boroughs:</w:t>
      </w:r>
    </w:p>
    <w:p w14:paraId="6C71E3C5" w14:textId="77777777" w:rsidR="00E0643C" w:rsidRPr="0093603C" w:rsidRDefault="00E0643C" w:rsidP="00E0643C">
      <w:pPr>
        <w:contextualSpacing/>
        <w:jc w:val="center"/>
        <w:rPr>
          <w:rFonts w:cs="Times New Roman"/>
          <w:b/>
          <w:sz w:val="36"/>
          <w:szCs w:val="36"/>
        </w:rPr>
      </w:pPr>
      <w:r w:rsidRPr="0093603C">
        <w:rPr>
          <w:rFonts w:cs="Times New Roman"/>
          <w:b/>
          <w:sz w:val="36"/>
          <w:szCs w:val="36"/>
        </w:rPr>
        <w:t xml:space="preserve">Lessons for the U.S. </w:t>
      </w:r>
    </w:p>
    <w:p w14:paraId="683BE670" w14:textId="77777777" w:rsidR="0099172E" w:rsidRDefault="0099172E" w:rsidP="0099172E">
      <w:pPr>
        <w:spacing w:line="240" w:lineRule="auto"/>
        <w:contextualSpacing/>
        <w:rPr>
          <w:rFonts w:cs="Times New Roman"/>
          <w:sz w:val="36"/>
          <w:szCs w:val="36"/>
        </w:rPr>
      </w:pPr>
    </w:p>
    <w:p w14:paraId="5D0449DA" w14:textId="77777777" w:rsidR="0099172E" w:rsidRPr="0099172E" w:rsidRDefault="0099172E" w:rsidP="0099172E">
      <w:pPr>
        <w:spacing w:line="240" w:lineRule="auto"/>
        <w:contextualSpacing/>
        <w:jc w:val="center"/>
        <w:rPr>
          <w:rFonts w:cs="Times New Roman"/>
          <w:b/>
          <w:sz w:val="36"/>
          <w:szCs w:val="36"/>
        </w:rPr>
      </w:pPr>
      <w:r w:rsidRPr="0099172E">
        <w:rPr>
          <w:rFonts w:cs="Times New Roman"/>
          <w:b/>
          <w:sz w:val="36"/>
          <w:szCs w:val="36"/>
        </w:rPr>
        <w:t>Helen F. Ladd</w:t>
      </w:r>
    </w:p>
    <w:p w14:paraId="08921102" w14:textId="77777777" w:rsidR="0099172E" w:rsidRDefault="0099172E" w:rsidP="0099172E">
      <w:pPr>
        <w:spacing w:line="240" w:lineRule="auto"/>
        <w:contextualSpacing/>
        <w:jc w:val="center"/>
        <w:rPr>
          <w:rFonts w:cs="Times New Roman"/>
          <w:sz w:val="36"/>
          <w:szCs w:val="36"/>
        </w:rPr>
      </w:pPr>
      <w:r>
        <w:rPr>
          <w:rFonts w:cs="Times New Roman"/>
          <w:sz w:val="36"/>
          <w:szCs w:val="36"/>
        </w:rPr>
        <w:t>Susan B. King Professor of Public Policy and Professor of Economics</w:t>
      </w:r>
    </w:p>
    <w:p w14:paraId="66A320E9" w14:textId="77777777" w:rsidR="0099172E" w:rsidRDefault="0099172E" w:rsidP="0099172E">
      <w:pPr>
        <w:spacing w:line="240" w:lineRule="auto"/>
        <w:contextualSpacing/>
        <w:jc w:val="center"/>
        <w:rPr>
          <w:rFonts w:cs="Times New Roman"/>
          <w:sz w:val="36"/>
          <w:szCs w:val="36"/>
        </w:rPr>
      </w:pPr>
      <w:r>
        <w:rPr>
          <w:rFonts w:cs="Times New Roman"/>
          <w:sz w:val="36"/>
          <w:szCs w:val="36"/>
        </w:rPr>
        <w:t>Sanford School, Duke University</w:t>
      </w:r>
    </w:p>
    <w:p w14:paraId="1B328AC6" w14:textId="77777777" w:rsidR="0099172E" w:rsidRDefault="0099172E" w:rsidP="0099172E">
      <w:pPr>
        <w:spacing w:line="240" w:lineRule="auto"/>
        <w:contextualSpacing/>
        <w:jc w:val="center"/>
        <w:rPr>
          <w:rFonts w:cs="Times New Roman"/>
          <w:sz w:val="36"/>
          <w:szCs w:val="36"/>
        </w:rPr>
      </w:pPr>
      <w:r>
        <w:rPr>
          <w:rFonts w:cs="Times New Roman"/>
          <w:sz w:val="36"/>
          <w:szCs w:val="36"/>
        </w:rPr>
        <w:t>Durham, North Carolina</w:t>
      </w:r>
    </w:p>
    <w:p w14:paraId="7D0298A1" w14:textId="77777777" w:rsidR="0099172E" w:rsidRDefault="00000000" w:rsidP="0099172E">
      <w:pPr>
        <w:spacing w:line="240" w:lineRule="auto"/>
        <w:contextualSpacing/>
        <w:jc w:val="center"/>
        <w:rPr>
          <w:rFonts w:cs="Times New Roman"/>
          <w:sz w:val="36"/>
          <w:szCs w:val="36"/>
        </w:rPr>
      </w:pPr>
      <w:hyperlink r:id="rId8" w:history="1">
        <w:r w:rsidR="0099172E" w:rsidRPr="00AA5319">
          <w:rPr>
            <w:rStyle w:val="Hyperlink"/>
            <w:rFonts w:cs="Times New Roman"/>
            <w:sz w:val="36"/>
            <w:szCs w:val="36"/>
          </w:rPr>
          <w:t>hladd@duke.edu</w:t>
        </w:r>
      </w:hyperlink>
    </w:p>
    <w:p w14:paraId="67A65C5C" w14:textId="77777777" w:rsidR="0099172E" w:rsidRDefault="0099172E" w:rsidP="0099172E">
      <w:pPr>
        <w:spacing w:line="240" w:lineRule="auto"/>
        <w:contextualSpacing/>
        <w:jc w:val="center"/>
        <w:rPr>
          <w:rFonts w:cs="Times New Roman"/>
          <w:sz w:val="36"/>
          <w:szCs w:val="36"/>
        </w:rPr>
      </w:pPr>
    </w:p>
    <w:p w14:paraId="743229A2" w14:textId="77777777" w:rsidR="0099172E" w:rsidRPr="0099172E" w:rsidRDefault="0099172E" w:rsidP="0099172E">
      <w:pPr>
        <w:spacing w:line="240" w:lineRule="auto"/>
        <w:contextualSpacing/>
        <w:jc w:val="center"/>
        <w:rPr>
          <w:rFonts w:cs="Times New Roman"/>
          <w:b/>
          <w:sz w:val="36"/>
          <w:szCs w:val="36"/>
        </w:rPr>
      </w:pPr>
      <w:r w:rsidRPr="0099172E">
        <w:rPr>
          <w:rFonts w:cs="Times New Roman"/>
          <w:b/>
          <w:sz w:val="36"/>
          <w:szCs w:val="36"/>
        </w:rPr>
        <w:t>Edward B. Fiske</w:t>
      </w:r>
    </w:p>
    <w:p w14:paraId="4374217D" w14:textId="77777777" w:rsidR="0099172E" w:rsidRDefault="0099172E" w:rsidP="0099172E">
      <w:pPr>
        <w:spacing w:line="240" w:lineRule="auto"/>
        <w:contextualSpacing/>
        <w:jc w:val="center"/>
        <w:rPr>
          <w:rFonts w:cs="Times New Roman"/>
          <w:sz w:val="36"/>
          <w:szCs w:val="36"/>
        </w:rPr>
      </w:pPr>
      <w:r>
        <w:rPr>
          <w:rFonts w:cs="Times New Roman"/>
          <w:sz w:val="36"/>
          <w:szCs w:val="36"/>
        </w:rPr>
        <w:t>Education writer and consultant</w:t>
      </w:r>
    </w:p>
    <w:p w14:paraId="59359924" w14:textId="77777777" w:rsidR="0099172E" w:rsidRDefault="0099172E" w:rsidP="0099172E">
      <w:pPr>
        <w:spacing w:line="240" w:lineRule="auto"/>
        <w:contextualSpacing/>
        <w:jc w:val="center"/>
        <w:rPr>
          <w:rFonts w:cs="Times New Roman"/>
          <w:sz w:val="36"/>
          <w:szCs w:val="36"/>
        </w:rPr>
      </w:pPr>
      <w:r>
        <w:rPr>
          <w:rFonts w:cs="Times New Roman"/>
          <w:sz w:val="36"/>
          <w:szCs w:val="36"/>
        </w:rPr>
        <w:t>Durham, North Carolina</w:t>
      </w:r>
    </w:p>
    <w:p w14:paraId="7840E705" w14:textId="7359EB07" w:rsidR="0099172E" w:rsidRDefault="0099172E" w:rsidP="0099172E">
      <w:pPr>
        <w:spacing w:line="240" w:lineRule="auto"/>
        <w:contextualSpacing/>
        <w:jc w:val="center"/>
        <w:rPr>
          <w:rFonts w:cs="Times New Roman"/>
          <w:sz w:val="36"/>
          <w:szCs w:val="36"/>
        </w:rPr>
      </w:pPr>
      <w:r>
        <w:rPr>
          <w:rFonts w:cs="Times New Roman"/>
          <w:sz w:val="36"/>
          <w:szCs w:val="36"/>
        </w:rPr>
        <w:t>Efiske@aol.com</w:t>
      </w:r>
    </w:p>
    <w:p w14:paraId="6CEBAF10" w14:textId="77777777" w:rsidR="0099172E" w:rsidRDefault="0099172E" w:rsidP="0099172E">
      <w:pPr>
        <w:spacing w:line="240" w:lineRule="auto"/>
        <w:contextualSpacing/>
        <w:rPr>
          <w:rFonts w:cs="Times New Roman"/>
          <w:sz w:val="36"/>
          <w:szCs w:val="36"/>
        </w:rPr>
      </w:pPr>
    </w:p>
    <w:p w14:paraId="28A7E995" w14:textId="77777777" w:rsidR="0099172E" w:rsidRDefault="0099172E" w:rsidP="00E0643C">
      <w:pPr>
        <w:contextualSpacing/>
        <w:rPr>
          <w:rFonts w:cs="Times New Roman"/>
          <w:sz w:val="36"/>
          <w:szCs w:val="36"/>
        </w:rPr>
      </w:pPr>
    </w:p>
    <w:p w14:paraId="4CB8BAD7" w14:textId="77777777" w:rsidR="0099172E" w:rsidRDefault="0099172E" w:rsidP="0099172E">
      <w:pPr>
        <w:contextualSpacing/>
        <w:rPr>
          <w:rFonts w:cs="Times New Roman"/>
          <w:b/>
          <w:sz w:val="28"/>
          <w:szCs w:val="28"/>
        </w:rPr>
      </w:pPr>
    </w:p>
    <w:p w14:paraId="65E4AF68" w14:textId="194061A5" w:rsidR="00AD489D" w:rsidRDefault="0099172E" w:rsidP="0099172E">
      <w:pPr>
        <w:contextualSpacing/>
        <w:rPr>
          <w:rFonts w:cs="Times New Roman"/>
          <w:sz w:val="24"/>
          <w:szCs w:val="24"/>
        </w:rPr>
      </w:pPr>
      <w:r>
        <w:rPr>
          <w:rFonts w:cs="Times New Roman"/>
          <w:b/>
          <w:sz w:val="28"/>
          <w:szCs w:val="28"/>
        </w:rPr>
        <w:t xml:space="preserve">Acknowledgements. </w:t>
      </w:r>
      <w:r w:rsidRPr="00AD489D">
        <w:rPr>
          <w:rFonts w:cs="Times New Roman"/>
          <w:sz w:val="28"/>
          <w:szCs w:val="28"/>
        </w:rPr>
        <w:t xml:space="preserve">We are grateful to the Institute of Fiscal Studies in London for hosting us for during our one month research trip to London in October, 2015.   We also thank the many educators who shared their time and expertise with us. </w:t>
      </w:r>
      <w:r w:rsidR="004942E8">
        <w:rPr>
          <w:rFonts w:cs="Times New Roman"/>
          <w:sz w:val="28"/>
          <w:szCs w:val="28"/>
        </w:rPr>
        <w:t>Sarah Du from Duke University provided excellent research assistance</w:t>
      </w:r>
      <w:r w:rsidR="009B4265">
        <w:rPr>
          <w:rFonts w:cs="Times New Roman"/>
          <w:sz w:val="28"/>
          <w:szCs w:val="28"/>
        </w:rPr>
        <w:t xml:space="preserve"> and Michael Hansen provided detailed comments on an earlier version.</w:t>
      </w:r>
    </w:p>
    <w:p w14:paraId="112A18CD" w14:textId="77777777" w:rsidR="00AD489D" w:rsidRDefault="00AD489D">
      <w:pPr>
        <w:spacing w:after="160" w:line="259" w:lineRule="auto"/>
        <w:rPr>
          <w:rFonts w:cs="Times New Roman"/>
          <w:sz w:val="24"/>
          <w:szCs w:val="24"/>
        </w:rPr>
      </w:pPr>
      <w:r>
        <w:rPr>
          <w:rFonts w:cs="Times New Roman"/>
          <w:sz w:val="24"/>
          <w:szCs w:val="24"/>
        </w:rPr>
        <w:br w:type="page"/>
      </w:r>
    </w:p>
    <w:p w14:paraId="17063928" w14:textId="77777777" w:rsidR="00735CDD" w:rsidRPr="00AD489D" w:rsidRDefault="0099172E" w:rsidP="0099172E">
      <w:pPr>
        <w:contextualSpacing/>
        <w:rPr>
          <w:rFonts w:cs="Times New Roman"/>
          <w:sz w:val="24"/>
          <w:szCs w:val="24"/>
        </w:rPr>
      </w:pPr>
      <w:r w:rsidRPr="00AD489D">
        <w:rPr>
          <w:rFonts w:cs="Times New Roman"/>
          <w:sz w:val="24"/>
          <w:szCs w:val="24"/>
        </w:rPr>
        <w:lastRenderedPageBreak/>
        <w:t xml:space="preserve"> </w:t>
      </w:r>
    </w:p>
    <w:p w14:paraId="64CB6E59" w14:textId="77777777" w:rsidR="00E0643C" w:rsidRPr="00905DF7" w:rsidRDefault="0099172E" w:rsidP="00E0643C">
      <w:pPr>
        <w:contextualSpacing/>
        <w:rPr>
          <w:rFonts w:cs="Times New Roman"/>
          <w:sz w:val="24"/>
          <w:szCs w:val="24"/>
        </w:rPr>
      </w:pPr>
      <w:r>
        <w:rPr>
          <w:rFonts w:cs="Times New Roman"/>
          <w:sz w:val="24"/>
          <w:szCs w:val="24"/>
        </w:rPr>
        <w:t>T</w:t>
      </w:r>
      <w:r w:rsidR="00E0643C">
        <w:rPr>
          <w:rFonts w:cs="Times New Roman"/>
          <w:sz w:val="24"/>
          <w:szCs w:val="24"/>
        </w:rPr>
        <w:t>he i</w:t>
      </w:r>
      <w:r w:rsidR="00E0643C" w:rsidRPr="00905DF7">
        <w:rPr>
          <w:rFonts w:cs="Times New Roman"/>
          <w:sz w:val="24"/>
          <w:szCs w:val="24"/>
        </w:rPr>
        <w:t xml:space="preserve">ssue of how to promote educational excellence in urban areas with large concentrations of low-income pupils is a vexing one that </w:t>
      </w:r>
      <w:r w:rsidR="00B73BB5">
        <w:rPr>
          <w:rFonts w:cs="Times New Roman"/>
          <w:sz w:val="24"/>
          <w:szCs w:val="24"/>
        </w:rPr>
        <w:t xml:space="preserve">has </w:t>
      </w:r>
      <w:r w:rsidR="00E0643C" w:rsidRPr="00905DF7">
        <w:rPr>
          <w:rFonts w:cs="Times New Roman"/>
          <w:sz w:val="24"/>
          <w:szCs w:val="24"/>
        </w:rPr>
        <w:t>proved to be a challenge in all develop</w:t>
      </w:r>
      <w:r w:rsidR="00E0643C">
        <w:rPr>
          <w:rFonts w:cs="Times New Roman"/>
          <w:sz w:val="24"/>
          <w:szCs w:val="24"/>
        </w:rPr>
        <w:t xml:space="preserve">ed </w:t>
      </w:r>
      <w:r w:rsidR="00E0643C" w:rsidRPr="00905DF7">
        <w:rPr>
          <w:rFonts w:cs="Times New Roman"/>
          <w:sz w:val="24"/>
          <w:szCs w:val="24"/>
        </w:rPr>
        <w:t xml:space="preserve">countries. </w:t>
      </w:r>
    </w:p>
    <w:p w14:paraId="6B553CB9" w14:textId="77777777" w:rsidR="00E0643C" w:rsidRPr="00905DF7" w:rsidRDefault="00E0643C" w:rsidP="00E0643C">
      <w:pPr>
        <w:contextualSpacing/>
        <w:rPr>
          <w:rFonts w:cs="Times New Roman"/>
          <w:sz w:val="24"/>
          <w:szCs w:val="24"/>
        </w:rPr>
      </w:pPr>
    </w:p>
    <w:p w14:paraId="400770BB" w14:textId="77777777" w:rsidR="00E0643C" w:rsidRDefault="00E0643C" w:rsidP="00E0643C">
      <w:pPr>
        <w:contextualSpacing/>
        <w:rPr>
          <w:rFonts w:cs="Times New Roman"/>
          <w:sz w:val="24"/>
          <w:szCs w:val="24"/>
        </w:rPr>
      </w:pPr>
      <w:r w:rsidRPr="00905DF7">
        <w:rPr>
          <w:rFonts w:cs="Times New Roman"/>
          <w:sz w:val="24"/>
          <w:szCs w:val="24"/>
        </w:rPr>
        <w:t>One</w:t>
      </w:r>
      <w:r>
        <w:rPr>
          <w:rFonts w:cs="Times New Roman"/>
          <w:sz w:val="24"/>
          <w:szCs w:val="24"/>
        </w:rPr>
        <w:t xml:space="preserve"> bright spot is London, where in recent years the academic performance of primary and secondary school pupils has improved </w:t>
      </w:r>
      <w:r w:rsidR="00D53E69">
        <w:rPr>
          <w:rFonts w:cs="Times New Roman"/>
          <w:sz w:val="24"/>
          <w:szCs w:val="24"/>
        </w:rPr>
        <w:t xml:space="preserve">dramatically </w:t>
      </w:r>
      <w:r w:rsidR="00346539">
        <w:rPr>
          <w:rFonts w:cs="Times New Roman"/>
          <w:sz w:val="24"/>
          <w:szCs w:val="24"/>
        </w:rPr>
        <w:t xml:space="preserve">since the </w:t>
      </w:r>
      <w:r w:rsidR="0064045F">
        <w:rPr>
          <w:rFonts w:cs="Times New Roman"/>
          <w:sz w:val="24"/>
          <w:szCs w:val="24"/>
        </w:rPr>
        <w:t xml:space="preserve">late 1990s </w:t>
      </w:r>
      <w:r w:rsidR="00D53E69">
        <w:rPr>
          <w:rFonts w:cs="Times New Roman"/>
          <w:sz w:val="24"/>
          <w:szCs w:val="24"/>
        </w:rPr>
        <w:t xml:space="preserve">and </w:t>
      </w:r>
      <w:r>
        <w:rPr>
          <w:rFonts w:cs="Times New Roman"/>
          <w:sz w:val="24"/>
          <w:szCs w:val="24"/>
        </w:rPr>
        <w:t>now exceeds</w:t>
      </w:r>
      <w:r w:rsidR="0068282C">
        <w:rPr>
          <w:rFonts w:cs="Times New Roman"/>
          <w:sz w:val="24"/>
          <w:szCs w:val="24"/>
        </w:rPr>
        <w:t xml:space="preserve"> </w:t>
      </w:r>
      <w:r>
        <w:rPr>
          <w:rFonts w:cs="Times New Roman"/>
          <w:sz w:val="24"/>
          <w:szCs w:val="24"/>
        </w:rPr>
        <w:t>national average</w:t>
      </w:r>
      <w:r w:rsidR="0068282C">
        <w:rPr>
          <w:rFonts w:cs="Times New Roman"/>
          <w:sz w:val="24"/>
          <w:szCs w:val="24"/>
        </w:rPr>
        <w:t xml:space="preserve">s. </w:t>
      </w:r>
      <w:r>
        <w:rPr>
          <w:rFonts w:cs="Times New Roman"/>
          <w:sz w:val="24"/>
          <w:szCs w:val="24"/>
        </w:rPr>
        <w:t>Strikingly, th</w:t>
      </w:r>
      <w:r w:rsidR="00D53E69">
        <w:rPr>
          <w:rFonts w:cs="Times New Roman"/>
          <w:sz w:val="24"/>
          <w:szCs w:val="24"/>
        </w:rPr>
        <w:t xml:space="preserve">e improvement is largely attributable to the rapid achievement gains of low income students in the 13 boroughs of Inner London, the part of the city that </w:t>
      </w:r>
      <w:r w:rsidR="002C3779">
        <w:rPr>
          <w:rFonts w:cs="Times New Roman"/>
          <w:sz w:val="24"/>
          <w:szCs w:val="24"/>
        </w:rPr>
        <w:t>f</w:t>
      </w:r>
      <w:r w:rsidR="00D53E69">
        <w:rPr>
          <w:rFonts w:cs="Times New Roman"/>
          <w:sz w:val="24"/>
          <w:szCs w:val="24"/>
        </w:rPr>
        <w:t>eatures</w:t>
      </w:r>
      <w:r w:rsidR="000B640D">
        <w:rPr>
          <w:rFonts w:cs="Times New Roman"/>
          <w:sz w:val="24"/>
          <w:szCs w:val="24"/>
        </w:rPr>
        <w:t xml:space="preserve"> </w:t>
      </w:r>
      <w:r w:rsidR="00D53E69">
        <w:rPr>
          <w:rFonts w:cs="Times New Roman"/>
          <w:sz w:val="24"/>
          <w:szCs w:val="24"/>
        </w:rPr>
        <w:t xml:space="preserve">the </w:t>
      </w:r>
      <w:r>
        <w:rPr>
          <w:rFonts w:cs="Times New Roman"/>
          <w:sz w:val="24"/>
          <w:szCs w:val="24"/>
        </w:rPr>
        <w:t>greatest concentrations of low-income and ethnic minority students.  T</w:t>
      </w:r>
      <w:r w:rsidR="00D53E69">
        <w:rPr>
          <w:rFonts w:cs="Times New Roman"/>
          <w:sz w:val="24"/>
          <w:szCs w:val="24"/>
        </w:rPr>
        <w:t xml:space="preserve">his remarkably strong performance of London students </w:t>
      </w:r>
      <w:r w:rsidR="000D78F9">
        <w:rPr>
          <w:rFonts w:cs="Times New Roman"/>
          <w:sz w:val="24"/>
          <w:szCs w:val="24"/>
        </w:rPr>
        <w:t xml:space="preserve">was first highlighted in an article in the Financial Times (Cook, 2013) and </w:t>
      </w:r>
      <w:r>
        <w:rPr>
          <w:rFonts w:cs="Times New Roman"/>
          <w:sz w:val="24"/>
          <w:szCs w:val="24"/>
        </w:rPr>
        <w:t xml:space="preserve">has been dubbed the “London Effect.” </w:t>
      </w:r>
    </w:p>
    <w:p w14:paraId="787C8295" w14:textId="77777777" w:rsidR="0064045F" w:rsidRDefault="0064045F" w:rsidP="00E0643C">
      <w:pPr>
        <w:contextualSpacing/>
        <w:rPr>
          <w:sz w:val="24"/>
          <w:szCs w:val="24"/>
        </w:rPr>
      </w:pPr>
    </w:p>
    <w:p w14:paraId="5BAA875D" w14:textId="0E7F1131" w:rsidR="00FB7374" w:rsidRDefault="000D78F9" w:rsidP="00E0643C">
      <w:pPr>
        <w:contextualSpacing/>
        <w:rPr>
          <w:sz w:val="24"/>
          <w:szCs w:val="24"/>
        </w:rPr>
      </w:pPr>
      <w:r w:rsidRPr="000D78F9">
        <w:rPr>
          <w:sz w:val="24"/>
          <w:szCs w:val="24"/>
        </w:rPr>
        <w:t xml:space="preserve">Various research groups have confirmed the </w:t>
      </w:r>
      <w:r w:rsidR="0064045F">
        <w:rPr>
          <w:sz w:val="24"/>
          <w:szCs w:val="24"/>
        </w:rPr>
        <w:t xml:space="preserve">existence of the </w:t>
      </w:r>
      <w:r w:rsidR="0068282C">
        <w:rPr>
          <w:sz w:val="24"/>
          <w:szCs w:val="24"/>
        </w:rPr>
        <w:t>London E</w:t>
      </w:r>
      <w:r w:rsidRPr="000D78F9">
        <w:rPr>
          <w:sz w:val="24"/>
          <w:szCs w:val="24"/>
        </w:rPr>
        <w:t>ffect</w:t>
      </w:r>
      <w:r w:rsidR="00256B85">
        <w:rPr>
          <w:sz w:val="24"/>
          <w:szCs w:val="24"/>
        </w:rPr>
        <w:t xml:space="preserve">, primarily on the basis of </w:t>
      </w:r>
      <w:r w:rsidR="00346539">
        <w:rPr>
          <w:sz w:val="24"/>
          <w:szCs w:val="24"/>
        </w:rPr>
        <w:t xml:space="preserve">data </w:t>
      </w:r>
      <w:r w:rsidRPr="000D78F9">
        <w:rPr>
          <w:sz w:val="24"/>
          <w:szCs w:val="24"/>
        </w:rPr>
        <w:t>on the performance of secondary students on the Graduate Certificate of Secondary Education (GCSE)</w:t>
      </w:r>
      <w:r w:rsidR="007524C9">
        <w:rPr>
          <w:sz w:val="24"/>
          <w:szCs w:val="24"/>
        </w:rPr>
        <w:t>, a set of tests typically taken by 16 year olds</w:t>
      </w:r>
      <w:r w:rsidRPr="000D78F9">
        <w:rPr>
          <w:sz w:val="24"/>
          <w:szCs w:val="24"/>
        </w:rPr>
        <w:t>.</w:t>
      </w:r>
      <w:r w:rsidR="007524C9">
        <w:rPr>
          <w:rStyle w:val="FootnoteReference"/>
          <w:sz w:val="24"/>
          <w:szCs w:val="24"/>
        </w:rPr>
        <w:footnoteReference w:id="1"/>
      </w:r>
      <w:r w:rsidRPr="000D78F9">
        <w:rPr>
          <w:sz w:val="24"/>
          <w:szCs w:val="24"/>
        </w:rPr>
        <w:t xml:space="preserve"> </w:t>
      </w:r>
      <w:r w:rsidR="00256B85">
        <w:rPr>
          <w:sz w:val="24"/>
          <w:szCs w:val="24"/>
        </w:rPr>
        <w:t>The findings are generally the same</w:t>
      </w:r>
      <w:r w:rsidR="00256B85" w:rsidRPr="000D78F9">
        <w:rPr>
          <w:sz w:val="24"/>
          <w:szCs w:val="24"/>
        </w:rPr>
        <w:t xml:space="preserve"> </w:t>
      </w:r>
      <w:r w:rsidR="00256B85">
        <w:rPr>
          <w:sz w:val="24"/>
          <w:szCs w:val="24"/>
        </w:rPr>
        <w:t>r</w:t>
      </w:r>
      <w:r w:rsidRPr="000D78F9">
        <w:rPr>
          <w:sz w:val="24"/>
          <w:szCs w:val="24"/>
        </w:rPr>
        <w:t xml:space="preserve">egardless of which </w:t>
      </w:r>
      <w:r w:rsidR="00FB7374">
        <w:rPr>
          <w:sz w:val="24"/>
          <w:szCs w:val="24"/>
        </w:rPr>
        <w:t xml:space="preserve">specific </w:t>
      </w:r>
      <w:r w:rsidR="0068282C">
        <w:rPr>
          <w:sz w:val="24"/>
          <w:szCs w:val="24"/>
        </w:rPr>
        <w:t>GCSE</w:t>
      </w:r>
      <w:r w:rsidR="006C5276">
        <w:rPr>
          <w:sz w:val="24"/>
          <w:szCs w:val="24"/>
        </w:rPr>
        <w:t xml:space="preserve">–based </w:t>
      </w:r>
      <w:r w:rsidRPr="000D78F9">
        <w:rPr>
          <w:sz w:val="24"/>
          <w:szCs w:val="24"/>
        </w:rPr>
        <w:t>measure the</w:t>
      </w:r>
      <w:r w:rsidR="007B45D7">
        <w:rPr>
          <w:sz w:val="24"/>
          <w:szCs w:val="24"/>
        </w:rPr>
        <w:t xml:space="preserve"> researchers </w:t>
      </w:r>
      <w:r w:rsidRPr="000D78F9">
        <w:rPr>
          <w:sz w:val="24"/>
          <w:szCs w:val="24"/>
        </w:rPr>
        <w:t xml:space="preserve">use </w:t>
      </w:r>
      <w:r w:rsidR="00256B85">
        <w:rPr>
          <w:sz w:val="24"/>
          <w:szCs w:val="24"/>
        </w:rPr>
        <w:t xml:space="preserve"> </w:t>
      </w:r>
      <w:r w:rsidR="0068282C">
        <w:rPr>
          <w:sz w:val="24"/>
          <w:szCs w:val="24"/>
        </w:rPr>
        <w:t xml:space="preserve">-- e.g. </w:t>
      </w:r>
      <w:r w:rsidR="00256B85">
        <w:rPr>
          <w:sz w:val="24"/>
          <w:szCs w:val="24"/>
        </w:rPr>
        <w:t xml:space="preserve">the </w:t>
      </w:r>
      <w:r w:rsidRPr="000D78F9">
        <w:rPr>
          <w:sz w:val="24"/>
          <w:szCs w:val="24"/>
        </w:rPr>
        <w:t>proportion of students who receive grades of A</w:t>
      </w:r>
      <w:r w:rsidR="000B640D">
        <w:rPr>
          <w:sz w:val="24"/>
          <w:szCs w:val="24"/>
        </w:rPr>
        <w:t>*</w:t>
      </w:r>
      <w:r w:rsidRPr="000D78F9">
        <w:rPr>
          <w:sz w:val="24"/>
          <w:szCs w:val="24"/>
        </w:rPr>
        <w:t xml:space="preserve"> to C on</w:t>
      </w:r>
      <w:r w:rsidR="00C344FA">
        <w:rPr>
          <w:sz w:val="24"/>
          <w:szCs w:val="24"/>
        </w:rPr>
        <w:t>,</w:t>
      </w:r>
      <w:r w:rsidR="007524C9">
        <w:rPr>
          <w:sz w:val="24"/>
          <w:szCs w:val="24"/>
        </w:rPr>
        <w:t xml:space="preserve"> five</w:t>
      </w:r>
      <w:r w:rsidR="00C344FA">
        <w:rPr>
          <w:sz w:val="24"/>
          <w:szCs w:val="24"/>
        </w:rPr>
        <w:t xml:space="preserve"> or</w:t>
      </w:r>
      <w:r w:rsidR="007524C9">
        <w:rPr>
          <w:sz w:val="24"/>
          <w:szCs w:val="24"/>
        </w:rPr>
        <w:t xml:space="preserve"> </w:t>
      </w:r>
      <w:r w:rsidR="006C5276">
        <w:rPr>
          <w:sz w:val="24"/>
          <w:szCs w:val="24"/>
        </w:rPr>
        <w:t xml:space="preserve">possibly </w:t>
      </w:r>
      <w:r w:rsidR="007524C9">
        <w:rPr>
          <w:sz w:val="24"/>
          <w:szCs w:val="24"/>
        </w:rPr>
        <w:t>seven</w:t>
      </w:r>
      <w:r w:rsidR="0068282C">
        <w:rPr>
          <w:sz w:val="24"/>
          <w:szCs w:val="24"/>
        </w:rPr>
        <w:t xml:space="preserve">, </w:t>
      </w:r>
      <w:r w:rsidR="007524C9">
        <w:rPr>
          <w:sz w:val="24"/>
          <w:szCs w:val="24"/>
        </w:rPr>
        <w:t xml:space="preserve"> </w:t>
      </w:r>
      <w:r w:rsidRPr="000D78F9">
        <w:rPr>
          <w:sz w:val="24"/>
          <w:szCs w:val="24"/>
        </w:rPr>
        <w:t>national subject tests or</w:t>
      </w:r>
      <w:r w:rsidR="00256B85">
        <w:rPr>
          <w:sz w:val="24"/>
          <w:szCs w:val="24"/>
        </w:rPr>
        <w:t>, alternatively,</w:t>
      </w:r>
      <w:r w:rsidRPr="000D78F9">
        <w:rPr>
          <w:sz w:val="24"/>
          <w:szCs w:val="24"/>
        </w:rPr>
        <w:t xml:space="preserve"> the average points earned</w:t>
      </w:r>
      <w:r w:rsidR="00C344FA">
        <w:rPr>
          <w:sz w:val="24"/>
          <w:szCs w:val="24"/>
        </w:rPr>
        <w:t xml:space="preserve"> </w:t>
      </w:r>
      <w:r w:rsidRPr="000D78F9">
        <w:rPr>
          <w:sz w:val="24"/>
          <w:szCs w:val="24"/>
        </w:rPr>
        <w:t xml:space="preserve">, where points </w:t>
      </w:r>
      <w:r w:rsidR="00256B85">
        <w:rPr>
          <w:sz w:val="24"/>
          <w:szCs w:val="24"/>
        </w:rPr>
        <w:t xml:space="preserve">correspond to the letter grades. In </w:t>
      </w:r>
      <w:r w:rsidR="006C5276">
        <w:rPr>
          <w:sz w:val="24"/>
          <w:szCs w:val="24"/>
        </w:rPr>
        <w:t xml:space="preserve">all </w:t>
      </w:r>
      <w:r w:rsidR="00256B85">
        <w:rPr>
          <w:sz w:val="24"/>
          <w:szCs w:val="24"/>
        </w:rPr>
        <w:t xml:space="preserve">cases </w:t>
      </w:r>
      <w:r w:rsidR="00FB7374">
        <w:rPr>
          <w:sz w:val="24"/>
          <w:szCs w:val="24"/>
        </w:rPr>
        <w:t>the most striking element</w:t>
      </w:r>
      <w:r w:rsidR="00256B85">
        <w:rPr>
          <w:sz w:val="24"/>
          <w:szCs w:val="24"/>
        </w:rPr>
        <w:t xml:space="preserve"> is </w:t>
      </w:r>
      <w:r w:rsidR="00FB7374">
        <w:rPr>
          <w:sz w:val="24"/>
          <w:szCs w:val="24"/>
        </w:rPr>
        <w:t xml:space="preserve">the </w:t>
      </w:r>
      <w:r w:rsidR="009703B6">
        <w:rPr>
          <w:sz w:val="24"/>
          <w:szCs w:val="24"/>
        </w:rPr>
        <w:t xml:space="preserve">rapid </w:t>
      </w:r>
      <w:r w:rsidR="00C344FA">
        <w:rPr>
          <w:sz w:val="24"/>
          <w:szCs w:val="24"/>
        </w:rPr>
        <w:t xml:space="preserve">recent </w:t>
      </w:r>
      <w:r w:rsidR="00FB7374">
        <w:rPr>
          <w:sz w:val="24"/>
          <w:szCs w:val="24"/>
        </w:rPr>
        <w:t xml:space="preserve">improvement of </w:t>
      </w:r>
      <w:r w:rsidR="00C344FA">
        <w:rPr>
          <w:sz w:val="24"/>
          <w:szCs w:val="24"/>
        </w:rPr>
        <w:t>London students, particularly disadvantaged low-income</w:t>
      </w:r>
      <w:r w:rsidR="00FB7374">
        <w:rPr>
          <w:sz w:val="24"/>
          <w:szCs w:val="24"/>
        </w:rPr>
        <w:t xml:space="preserve"> students in Inner London (Greaves et al 2014. Blanden et al 2015, </w:t>
      </w:r>
      <w:r w:rsidR="00EC0224">
        <w:rPr>
          <w:sz w:val="24"/>
          <w:szCs w:val="24"/>
        </w:rPr>
        <w:t>and Burgess</w:t>
      </w:r>
      <w:r w:rsidR="00E22BB0">
        <w:rPr>
          <w:sz w:val="24"/>
          <w:szCs w:val="24"/>
        </w:rPr>
        <w:t xml:space="preserve">, </w:t>
      </w:r>
      <w:r w:rsidR="00EC0224">
        <w:rPr>
          <w:sz w:val="24"/>
          <w:szCs w:val="24"/>
        </w:rPr>
        <w:t>2014</w:t>
      </w:r>
      <w:r w:rsidR="00C344FA">
        <w:rPr>
          <w:sz w:val="24"/>
          <w:szCs w:val="24"/>
        </w:rPr>
        <w:t>)</w:t>
      </w:r>
      <w:r w:rsidR="00757BC5">
        <w:rPr>
          <w:sz w:val="24"/>
          <w:szCs w:val="24"/>
        </w:rPr>
        <w:t>.</w:t>
      </w:r>
      <w:r w:rsidR="00C344FA">
        <w:rPr>
          <w:sz w:val="24"/>
          <w:szCs w:val="24"/>
        </w:rPr>
        <w:t xml:space="preserve"> </w:t>
      </w:r>
      <w:r w:rsidR="00FB7374">
        <w:rPr>
          <w:sz w:val="24"/>
          <w:szCs w:val="24"/>
        </w:rPr>
        <w:t xml:space="preserve">   </w:t>
      </w:r>
    </w:p>
    <w:p w14:paraId="3817D0BB" w14:textId="77777777" w:rsidR="00FB7374" w:rsidRDefault="00FB7374" w:rsidP="00E0643C">
      <w:pPr>
        <w:contextualSpacing/>
        <w:rPr>
          <w:sz w:val="24"/>
          <w:szCs w:val="24"/>
        </w:rPr>
      </w:pPr>
    </w:p>
    <w:p w14:paraId="04AF5687" w14:textId="3C2174EB" w:rsidR="006B6D87" w:rsidRDefault="00346539" w:rsidP="00E0643C">
      <w:pPr>
        <w:contextualSpacing/>
        <w:rPr>
          <w:rFonts w:cs="Times New Roman"/>
          <w:b/>
          <w:sz w:val="24"/>
          <w:szCs w:val="24"/>
        </w:rPr>
      </w:pPr>
      <w:r>
        <w:rPr>
          <w:sz w:val="24"/>
          <w:szCs w:val="24"/>
        </w:rPr>
        <w:t>Re</w:t>
      </w:r>
      <w:r w:rsidR="00FB7374">
        <w:rPr>
          <w:sz w:val="24"/>
          <w:szCs w:val="24"/>
        </w:rPr>
        <w:t>searchers disagree about the explanations</w:t>
      </w:r>
      <w:r>
        <w:rPr>
          <w:sz w:val="24"/>
          <w:szCs w:val="24"/>
        </w:rPr>
        <w:t xml:space="preserve"> for th</w:t>
      </w:r>
      <w:r w:rsidR="006B6D87">
        <w:rPr>
          <w:sz w:val="24"/>
          <w:szCs w:val="24"/>
        </w:rPr>
        <w:t>is</w:t>
      </w:r>
      <w:r w:rsidR="0068282C">
        <w:rPr>
          <w:sz w:val="24"/>
          <w:szCs w:val="24"/>
        </w:rPr>
        <w:t xml:space="preserve"> London E</w:t>
      </w:r>
      <w:r>
        <w:rPr>
          <w:sz w:val="24"/>
          <w:szCs w:val="24"/>
        </w:rPr>
        <w:t>ffect</w:t>
      </w:r>
      <w:r w:rsidR="00712FEF">
        <w:rPr>
          <w:sz w:val="24"/>
          <w:szCs w:val="24"/>
        </w:rPr>
        <w:t xml:space="preserve">. </w:t>
      </w:r>
      <w:r w:rsidR="009703B6">
        <w:rPr>
          <w:sz w:val="24"/>
          <w:szCs w:val="24"/>
        </w:rPr>
        <w:t xml:space="preserve"> Some attribute the </w:t>
      </w:r>
      <w:r w:rsidR="00A53869">
        <w:rPr>
          <w:sz w:val="24"/>
          <w:szCs w:val="24"/>
        </w:rPr>
        <w:t xml:space="preserve">gains </w:t>
      </w:r>
      <w:r w:rsidR="009703B6">
        <w:rPr>
          <w:sz w:val="24"/>
          <w:szCs w:val="24"/>
        </w:rPr>
        <w:t xml:space="preserve">of London students </w:t>
      </w:r>
      <w:r w:rsidR="00A53869">
        <w:rPr>
          <w:sz w:val="24"/>
          <w:szCs w:val="24"/>
        </w:rPr>
        <w:t xml:space="preserve">to various </w:t>
      </w:r>
      <w:r w:rsidR="00F87FA6">
        <w:rPr>
          <w:sz w:val="24"/>
          <w:szCs w:val="24"/>
        </w:rPr>
        <w:t xml:space="preserve">London-specific </w:t>
      </w:r>
      <w:r w:rsidR="00A53869">
        <w:rPr>
          <w:sz w:val="24"/>
          <w:szCs w:val="24"/>
        </w:rPr>
        <w:t xml:space="preserve">policy interventions at the secondary level </w:t>
      </w:r>
      <w:r w:rsidR="0068282C">
        <w:rPr>
          <w:sz w:val="24"/>
          <w:szCs w:val="24"/>
        </w:rPr>
        <w:t xml:space="preserve">between </w:t>
      </w:r>
      <w:r w:rsidR="00A53869">
        <w:rPr>
          <w:sz w:val="24"/>
          <w:szCs w:val="24"/>
        </w:rPr>
        <w:t xml:space="preserve">2002 </w:t>
      </w:r>
      <w:r w:rsidR="0068282C">
        <w:rPr>
          <w:sz w:val="24"/>
          <w:szCs w:val="24"/>
        </w:rPr>
        <w:t xml:space="preserve">and </w:t>
      </w:r>
      <w:r w:rsidR="00A53869">
        <w:rPr>
          <w:sz w:val="24"/>
          <w:szCs w:val="24"/>
        </w:rPr>
        <w:t>2010 (e.g. CfBT 2014)</w:t>
      </w:r>
      <w:r w:rsidR="00091C3B">
        <w:rPr>
          <w:sz w:val="24"/>
          <w:szCs w:val="24"/>
        </w:rPr>
        <w:t>. O</w:t>
      </w:r>
      <w:r w:rsidR="00A53869">
        <w:rPr>
          <w:sz w:val="24"/>
          <w:szCs w:val="24"/>
        </w:rPr>
        <w:t>thers attr</w:t>
      </w:r>
      <w:r w:rsidR="00C344FA">
        <w:rPr>
          <w:sz w:val="24"/>
          <w:szCs w:val="24"/>
        </w:rPr>
        <w:t>i</w:t>
      </w:r>
      <w:r w:rsidR="00A53869">
        <w:rPr>
          <w:sz w:val="24"/>
          <w:szCs w:val="24"/>
        </w:rPr>
        <w:t xml:space="preserve">bute them to factors such as London’s </w:t>
      </w:r>
      <w:r w:rsidR="00C344FA">
        <w:rPr>
          <w:sz w:val="24"/>
          <w:szCs w:val="24"/>
        </w:rPr>
        <w:t>ethnic mix (Burgess, 2014)</w:t>
      </w:r>
      <w:r w:rsidR="008D624B">
        <w:rPr>
          <w:sz w:val="24"/>
          <w:szCs w:val="24"/>
        </w:rPr>
        <w:t xml:space="preserve"> or its strong economy</w:t>
      </w:r>
      <w:r w:rsidR="00C344FA">
        <w:rPr>
          <w:sz w:val="24"/>
          <w:szCs w:val="24"/>
        </w:rPr>
        <w:t xml:space="preserve">. </w:t>
      </w:r>
      <w:r w:rsidR="00091C3B">
        <w:rPr>
          <w:sz w:val="24"/>
          <w:szCs w:val="24"/>
        </w:rPr>
        <w:t xml:space="preserve"> </w:t>
      </w:r>
      <w:r w:rsidR="00A53869">
        <w:rPr>
          <w:sz w:val="24"/>
          <w:szCs w:val="24"/>
        </w:rPr>
        <w:t>We will say more about th</w:t>
      </w:r>
      <w:r w:rsidR="00091C3B">
        <w:rPr>
          <w:sz w:val="24"/>
          <w:szCs w:val="24"/>
        </w:rPr>
        <w:t xml:space="preserve">ese potential </w:t>
      </w:r>
      <w:r w:rsidR="00A53869">
        <w:rPr>
          <w:sz w:val="24"/>
          <w:szCs w:val="24"/>
        </w:rPr>
        <w:t>explanations below, but on</w:t>
      </w:r>
      <w:r w:rsidR="00091C3B">
        <w:rPr>
          <w:sz w:val="24"/>
          <w:szCs w:val="24"/>
        </w:rPr>
        <w:t>e</w:t>
      </w:r>
      <w:r>
        <w:rPr>
          <w:sz w:val="24"/>
          <w:szCs w:val="24"/>
        </w:rPr>
        <w:t xml:space="preserve"> empirical </w:t>
      </w:r>
      <w:r w:rsidR="00576E89">
        <w:rPr>
          <w:sz w:val="24"/>
          <w:szCs w:val="24"/>
        </w:rPr>
        <w:t xml:space="preserve">finding </w:t>
      </w:r>
      <w:r>
        <w:rPr>
          <w:sz w:val="24"/>
          <w:szCs w:val="24"/>
        </w:rPr>
        <w:t xml:space="preserve">is particularly relevant for </w:t>
      </w:r>
      <w:r w:rsidR="00712FEF">
        <w:rPr>
          <w:sz w:val="24"/>
          <w:szCs w:val="24"/>
        </w:rPr>
        <w:t xml:space="preserve">this paper:  </w:t>
      </w:r>
      <w:r w:rsidR="00091C3B">
        <w:rPr>
          <w:sz w:val="24"/>
          <w:szCs w:val="24"/>
        </w:rPr>
        <w:t xml:space="preserve">the </w:t>
      </w:r>
      <w:r w:rsidR="007524C9">
        <w:rPr>
          <w:sz w:val="24"/>
          <w:szCs w:val="24"/>
        </w:rPr>
        <w:t xml:space="preserve">importance of </w:t>
      </w:r>
      <w:r w:rsidR="00091C3B">
        <w:rPr>
          <w:sz w:val="24"/>
          <w:szCs w:val="24"/>
        </w:rPr>
        <w:t xml:space="preserve">improved performance </w:t>
      </w:r>
      <w:r w:rsidR="007524C9">
        <w:rPr>
          <w:sz w:val="24"/>
          <w:szCs w:val="24"/>
        </w:rPr>
        <w:t xml:space="preserve">at the primary level for the subsequent </w:t>
      </w:r>
      <w:r w:rsidR="002660A0">
        <w:rPr>
          <w:sz w:val="24"/>
          <w:szCs w:val="24"/>
        </w:rPr>
        <w:t xml:space="preserve">success of </w:t>
      </w:r>
      <w:r w:rsidR="007524C9">
        <w:rPr>
          <w:sz w:val="24"/>
          <w:szCs w:val="24"/>
        </w:rPr>
        <w:t xml:space="preserve">students at the secondary level </w:t>
      </w:r>
      <w:r w:rsidR="00712FEF">
        <w:rPr>
          <w:sz w:val="24"/>
          <w:szCs w:val="24"/>
        </w:rPr>
        <w:t>(Greaves et al. 2014; Blanden et al., 2015)</w:t>
      </w:r>
      <w:r w:rsidR="00224A90">
        <w:rPr>
          <w:sz w:val="24"/>
          <w:szCs w:val="24"/>
        </w:rPr>
        <w:t>.</w:t>
      </w:r>
      <w:r w:rsidR="00712FEF">
        <w:rPr>
          <w:sz w:val="24"/>
          <w:szCs w:val="24"/>
        </w:rPr>
        <w:t xml:space="preserve">  </w:t>
      </w:r>
      <w:r w:rsidR="00091C3B" w:rsidRPr="000F5B4F">
        <w:rPr>
          <w:rFonts w:cs="Times New Roman"/>
          <w:sz w:val="24"/>
          <w:szCs w:val="24"/>
        </w:rPr>
        <w:t>Th</w:t>
      </w:r>
      <w:r w:rsidR="000F5B4F" w:rsidRPr="000F5B4F">
        <w:rPr>
          <w:rFonts w:cs="Times New Roman"/>
          <w:sz w:val="24"/>
          <w:szCs w:val="24"/>
        </w:rPr>
        <w:t>is</w:t>
      </w:r>
      <w:r w:rsidR="000F5B4F">
        <w:rPr>
          <w:rFonts w:cs="Times New Roman"/>
          <w:sz w:val="24"/>
          <w:szCs w:val="24"/>
        </w:rPr>
        <w:t xml:space="preserve"> </w:t>
      </w:r>
      <w:r w:rsidR="00712FEF" w:rsidRPr="000F5B4F">
        <w:rPr>
          <w:rFonts w:cs="Times New Roman"/>
          <w:sz w:val="24"/>
          <w:szCs w:val="24"/>
        </w:rPr>
        <w:t>finding leads to the main question for this paper</w:t>
      </w:r>
      <w:r w:rsidR="00E0643C" w:rsidRPr="000F5B4F">
        <w:rPr>
          <w:rFonts w:cs="Times New Roman"/>
          <w:sz w:val="24"/>
          <w:szCs w:val="24"/>
        </w:rPr>
        <w:t>: What</w:t>
      </w:r>
      <w:r w:rsidR="009703B6">
        <w:rPr>
          <w:rFonts w:cs="Times New Roman"/>
          <w:sz w:val="24"/>
          <w:szCs w:val="24"/>
        </w:rPr>
        <w:t xml:space="preserve"> is</w:t>
      </w:r>
      <w:r w:rsidR="006C5276">
        <w:rPr>
          <w:rFonts w:cs="Times New Roman"/>
          <w:sz w:val="24"/>
          <w:szCs w:val="24"/>
        </w:rPr>
        <w:t xml:space="preserve"> </w:t>
      </w:r>
      <w:r w:rsidR="00E0643C" w:rsidRPr="000F5B4F">
        <w:rPr>
          <w:rFonts w:cs="Times New Roman"/>
          <w:sz w:val="24"/>
          <w:szCs w:val="24"/>
        </w:rPr>
        <w:t>behind the London Effect</w:t>
      </w:r>
      <w:r w:rsidR="00712FEF" w:rsidRPr="000F5B4F">
        <w:rPr>
          <w:rFonts w:cs="Times New Roman"/>
          <w:sz w:val="24"/>
          <w:szCs w:val="24"/>
        </w:rPr>
        <w:t xml:space="preserve"> at the primary level</w:t>
      </w:r>
      <w:r w:rsidR="006C5276">
        <w:rPr>
          <w:rFonts w:cs="Times New Roman"/>
          <w:sz w:val="24"/>
          <w:szCs w:val="24"/>
        </w:rPr>
        <w:t>, that is</w:t>
      </w:r>
      <w:r w:rsidR="0068282C">
        <w:rPr>
          <w:rFonts w:cs="Times New Roman"/>
          <w:sz w:val="24"/>
          <w:szCs w:val="24"/>
        </w:rPr>
        <w:t>,</w:t>
      </w:r>
      <w:r w:rsidR="006C5276">
        <w:rPr>
          <w:rFonts w:cs="Times New Roman"/>
          <w:sz w:val="24"/>
          <w:szCs w:val="24"/>
        </w:rPr>
        <w:t xml:space="preserve"> for children completing grade 6 typically at age 11</w:t>
      </w:r>
      <w:r w:rsidR="00C344FA">
        <w:rPr>
          <w:rFonts w:cs="Times New Roman"/>
          <w:sz w:val="24"/>
          <w:szCs w:val="24"/>
        </w:rPr>
        <w:t>?</w:t>
      </w:r>
      <w:r w:rsidR="006C5276">
        <w:rPr>
          <w:rFonts w:cs="Times New Roman"/>
          <w:sz w:val="24"/>
          <w:szCs w:val="24"/>
        </w:rPr>
        <w:t xml:space="preserve"> </w:t>
      </w:r>
      <w:r w:rsidR="00712FEF">
        <w:rPr>
          <w:rFonts w:cs="Times New Roman"/>
          <w:b/>
          <w:sz w:val="24"/>
          <w:szCs w:val="24"/>
        </w:rPr>
        <w:t xml:space="preserve"> </w:t>
      </w:r>
    </w:p>
    <w:p w14:paraId="55971C2F" w14:textId="77777777" w:rsidR="00576E89" w:rsidRDefault="00576E89" w:rsidP="00E0643C">
      <w:pPr>
        <w:contextualSpacing/>
        <w:rPr>
          <w:rFonts w:cs="Times New Roman"/>
          <w:b/>
          <w:sz w:val="24"/>
          <w:szCs w:val="24"/>
        </w:rPr>
      </w:pPr>
    </w:p>
    <w:p w14:paraId="2121182F" w14:textId="69F0F7EB" w:rsidR="00B062CF" w:rsidRDefault="00E0643C" w:rsidP="00E0643C">
      <w:pPr>
        <w:contextualSpacing/>
        <w:rPr>
          <w:rFonts w:cs="Times New Roman"/>
          <w:sz w:val="24"/>
          <w:szCs w:val="24"/>
        </w:rPr>
      </w:pPr>
      <w:r>
        <w:rPr>
          <w:rFonts w:cs="Times New Roman"/>
          <w:sz w:val="24"/>
          <w:szCs w:val="24"/>
        </w:rPr>
        <w:t xml:space="preserve">To shed light on this question we spent a month in London gathering data, reading reports, interviewing policy makers and educators and visiting primary schools. We focused on primary </w:t>
      </w:r>
      <w:r>
        <w:rPr>
          <w:rFonts w:cs="Times New Roman"/>
          <w:sz w:val="24"/>
          <w:szCs w:val="24"/>
        </w:rPr>
        <w:lastRenderedPageBreak/>
        <w:t>schools as engines of school improvement that in turn drove gains at the secondary level</w:t>
      </w:r>
      <w:r w:rsidR="000F5B4F">
        <w:rPr>
          <w:rFonts w:cs="Times New Roman"/>
          <w:sz w:val="24"/>
          <w:szCs w:val="24"/>
        </w:rPr>
        <w:t xml:space="preserve">.  </w:t>
      </w:r>
      <w:r>
        <w:rPr>
          <w:rFonts w:cs="Times New Roman"/>
          <w:sz w:val="24"/>
          <w:szCs w:val="24"/>
        </w:rPr>
        <w:t xml:space="preserve">And we concentrated on the two </w:t>
      </w:r>
      <w:r w:rsidR="00B062CF">
        <w:rPr>
          <w:rFonts w:cs="Times New Roman"/>
          <w:sz w:val="24"/>
          <w:szCs w:val="24"/>
        </w:rPr>
        <w:t xml:space="preserve">Inner </w:t>
      </w:r>
      <w:r>
        <w:rPr>
          <w:rFonts w:cs="Times New Roman"/>
          <w:sz w:val="24"/>
          <w:szCs w:val="24"/>
        </w:rPr>
        <w:t>London boroughs, Hackney and Tower Hamlets</w:t>
      </w:r>
      <w:r w:rsidR="00C344FA">
        <w:rPr>
          <w:rFonts w:cs="Times New Roman"/>
          <w:sz w:val="24"/>
          <w:szCs w:val="24"/>
        </w:rPr>
        <w:t xml:space="preserve">. </w:t>
      </w:r>
      <w:r>
        <w:rPr>
          <w:rFonts w:cs="Times New Roman"/>
          <w:sz w:val="24"/>
          <w:szCs w:val="24"/>
        </w:rPr>
        <w:t xml:space="preserve">that in the late 1990s </w:t>
      </w:r>
      <w:r w:rsidR="00B062CF">
        <w:rPr>
          <w:rFonts w:cs="Times New Roman"/>
          <w:sz w:val="24"/>
          <w:szCs w:val="24"/>
        </w:rPr>
        <w:t xml:space="preserve">were the most economically deprived </w:t>
      </w:r>
      <w:r w:rsidR="00C344FA">
        <w:rPr>
          <w:rFonts w:cs="Times New Roman"/>
          <w:sz w:val="24"/>
          <w:szCs w:val="24"/>
        </w:rPr>
        <w:t>among the London boroughs a</w:t>
      </w:r>
      <w:r w:rsidR="00B062CF">
        <w:rPr>
          <w:rFonts w:cs="Times New Roman"/>
          <w:sz w:val="24"/>
          <w:szCs w:val="24"/>
        </w:rPr>
        <w:t xml:space="preserve">nd </w:t>
      </w:r>
      <w:r w:rsidR="00E84E08">
        <w:rPr>
          <w:rFonts w:cs="Times New Roman"/>
          <w:sz w:val="24"/>
          <w:szCs w:val="24"/>
        </w:rPr>
        <w:t xml:space="preserve">had </w:t>
      </w:r>
      <w:r w:rsidR="00C344FA">
        <w:rPr>
          <w:rFonts w:cs="Times New Roman"/>
          <w:sz w:val="24"/>
          <w:szCs w:val="24"/>
        </w:rPr>
        <w:t xml:space="preserve">the lowest achievement levels. </w:t>
      </w:r>
      <w:r>
        <w:rPr>
          <w:rFonts w:cs="Times New Roman"/>
          <w:sz w:val="24"/>
          <w:szCs w:val="24"/>
        </w:rPr>
        <w:t xml:space="preserve">The academic performance of students </w:t>
      </w:r>
      <w:r w:rsidR="000F5B4F">
        <w:rPr>
          <w:rFonts w:cs="Times New Roman"/>
          <w:sz w:val="24"/>
          <w:szCs w:val="24"/>
        </w:rPr>
        <w:t xml:space="preserve">at </w:t>
      </w:r>
      <w:r w:rsidR="00D57CA9">
        <w:rPr>
          <w:rFonts w:cs="Times New Roman"/>
          <w:sz w:val="24"/>
          <w:szCs w:val="24"/>
        </w:rPr>
        <w:t xml:space="preserve">both </w:t>
      </w:r>
      <w:r w:rsidR="000F5B4F">
        <w:rPr>
          <w:rFonts w:cs="Times New Roman"/>
          <w:sz w:val="24"/>
          <w:szCs w:val="24"/>
        </w:rPr>
        <w:t xml:space="preserve">the primary </w:t>
      </w:r>
      <w:r w:rsidR="00D57CA9">
        <w:rPr>
          <w:rFonts w:cs="Times New Roman"/>
          <w:sz w:val="24"/>
          <w:szCs w:val="24"/>
        </w:rPr>
        <w:t xml:space="preserve">and secondary levels </w:t>
      </w:r>
      <w:r>
        <w:rPr>
          <w:rFonts w:cs="Times New Roman"/>
          <w:sz w:val="24"/>
          <w:szCs w:val="24"/>
        </w:rPr>
        <w:t xml:space="preserve">in both boroughs has improved significantly over time and now, like that of pupils in other </w:t>
      </w:r>
      <w:r w:rsidR="00E84E08">
        <w:rPr>
          <w:rFonts w:cs="Times New Roman"/>
          <w:sz w:val="24"/>
          <w:szCs w:val="24"/>
        </w:rPr>
        <w:t>I</w:t>
      </w:r>
      <w:r>
        <w:rPr>
          <w:rFonts w:cs="Times New Roman"/>
          <w:sz w:val="24"/>
          <w:szCs w:val="24"/>
        </w:rPr>
        <w:t>nner London boroughs, exceeds the national average</w:t>
      </w:r>
      <w:r w:rsidR="006C5276">
        <w:rPr>
          <w:rFonts w:cs="Times New Roman"/>
          <w:sz w:val="24"/>
          <w:szCs w:val="24"/>
        </w:rPr>
        <w:t xml:space="preserve"> test performance of </w:t>
      </w:r>
      <w:r w:rsidR="004F355C">
        <w:rPr>
          <w:rFonts w:cs="Times New Roman"/>
          <w:sz w:val="24"/>
          <w:szCs w:val="24"/>
        </w:rPr>
        <w:t>11-year-olds</w:t>
      </w:r>
      <w:r w:rsidR="006C5276">
        <w:rPr>
          <w:rFonts w:cs="Times New Roman"/>
          <w:sz w:val="24"/>
          <w:szCs w:val="24"/>
        </w:rPr>
        <w:t xml:space="preserve"> throughout the country. </w:t>
      </w:r>
      <w:r>
        <w:rPr>
          <w:rFonts w:cs="Times New Roman"/>
          <w:sz w:val="24"/>
          <w:szCs w:val="24"/>
        </w:rPr>
        <w:t xml:space="preserve">  </w:t>
      </w:r>
      <w:r w:rsidR="009703B6">
        <w:rPr>
          <w:rFonts w:cs="Times New Roman"/>
          <w:sz w:val="24"/>
          <w:szCs w:val="24"/>
        </w:rPr>
        <w:t xml:space="preserve">We </w:t>
      </w:r>
      <w:r w:rsidR="00B062CF">
        <w:rPr>
          <w:rFonts w:cs="Times New Roman"/>
          <w:sz w:val="24"/>
          <w:szCs w:val="24"/>
        </w:rPr>
        <w:t xml:space="preserve">use these two boroughs to flesh out the types of </w:t>
      </w:r>
      <w:r w:rsidR="009703B6">
        <w:rPr>
          <w:rFonts w:cs="Times New Roman"/>
          <w:sz w:val="24"/>
          <w:szCs w:val="24"/>
        </w:rPr>
        <w:t xml:space="preserve">policy changes </w:t>
      </w:r>
      <w:r w:rsidR="00B062CF">
        <w:rPr>
          <w:rFonts w:cs="Times New Roman"/>
          <w:sz w:val="24"/>
          <w:szCs w:val="24"/>
        </w:rPr>
        <w:t xml:space="preserve">at the local level that played a role both in their success, and, by extension, </w:t>
      </w:r>
      <w:r w:rsidR="000C7C18">
        <w:rPr>
          <w:rFonts w:cs="Times New Roman"/>
          <w:sz w:val="24"/>
          <w:szCs w:val="24"/>
        </w:rPr>
        <w:t>t</w:t>
      </w:r>
      <w:r w:rsidR="00B062CF">
        <w:rPr>
          <w:rFonts w:cs="Times New Roman"/>
          <w:sz w:val="24"/>
          <w:szCs w:val="24"/>
        </w:rPr>
        <w:t xml:space="preserve">he success of </w:t>
      </w:r>
      <w:r w:rsidR="009703B6">
        <w:rPr>
          <w:rFonts w:cs="Times New Roman"/>
          <w:sz w:val="24"/>
          <w:szCs w:val="24"/>
        </w:rPr>
        <w:t xml:space="preserve">many of the </w:t>
      </w:r>
      <w:r w:rsidR="00B062CF">
        <w:rPr>
          <w:rFonts w:cs="Times New Roman"/>
          <w:sz w:val="24"/>
          <w:szCs w:val="24"/>
        </w:rPr>
        <w:t>other Inner London boroughs</w:t>
      </w:r>
      <w:r w:rsidR="009703B6">
        <w:rPr>
          <w:rFonts w:cs="Times New Roman"/>
          <w:sz w:val="24"/>
          <w:szCs w:val="24"/>
        </w:rPr>
        <w:t xml:space="preserve">. Our ultimate goal is to tease out potential lessons for U.S. policy makers. </w:t>
      </w:r>
      <w:r w:rsidR="00B062CF">
        <w:rPr>
          <w:rFonts w:cs="Times New Roman"/>
          <w:sz w:val="24"/>
          <w:szCs w:val="24"/>
        </w:rPr>
        <w:t xml:space="preserve"> </w:t>
      </w:r>
    </w:p>
    <w:p w14:paraId="0DA98623" w14:textId="77777777" w:rsidR="00B062CF" w:rsidRDefault="00B062CF" w:rsidP="00E0643C">
      <w:pPr>
        <w:contextualSpacing/>
        <w:rPr>
          <w:rFonts w:cs="Times New Roman"/>
          <w:sz w:val="24"/>
          <w:szCs w:val="24"/>
        </w:rPr>
      </w:pPr>
    </w:p>
    <w:p w14:paraId="3B8BB5FF" w14:textId="77777777" w:rsidR="000F5B4F" w:rsidRPr="00B37BBC" w:rsidRDefault="007108D0" w:rsidP="00E0643C">
      <w:pPr>
        <w:contextualSpacing/>
        <w:rPr>
          <w:rFonts w:cs="Times New Roman"/>
          <w:b/>
          <w:sz w:val="32"/>
          <w:szCs w:val="32"/>
        </w:rPr>
      </w:pPr>
      <w:r w:rsidRPr="00B37BBC">
        <w:rPr>
          <w:rFonts w:cs="Times New Roman"/>
          <w:b/>
          <w:sz w:val="32"/>
          <w:szCs w:val="32"/>
        </w:rPr>
        <w:t xml:space="preserve">Rising pupil achievement in </w:t>
      </w:r>
      <w:r w:rsidR="00B062CF" w:rsidRPr="00B37BBC">
        <w:rPr>
          <w:rFonts w:cs="Times New Roman"/>
          <w:b/>
          <w:sz w:val="32"/>
          <w:szCs w:val="32"/>
        </w:rPr>
        <w:t>Ha</w:t>
      </w:r>
      <w:r w:rsidR="000F5B4F" w:rsidRPr="00B37BBC">
        <w:rPr>
          <w:rFonts w:cs="Times New Roman"/>
          <w:b/>
          <w:sz w:val="32"/>
          <w:szCs w:val="32"/>
        </w:rPr>
        <w:t xml:space="preserve">ckney and Tower Hamlets </w:t>
      </w:r>
    </w:p>
    <w:p w14:paraId="79D1C3D6" w14:textId="77777777" w:rsidR="00910F65" w:rsidRPr="0093603C" w:rsidRDefault="00910F65" w:rsidP="00E0643C">
      <w:pPr>
        <w:contextualSpacing/>
        <w:rPr>
          <w:i/>
          <w:sz w:val="36"/>
          <w:szCs w:val="36"/>
        </w:rPr>
      </w:pPr>
    </w:p>
    <w:p w14:paraId="7F52DE87" w14:textId="0E2A7F61" w:rsidR="00703A9A" w:rsidRDefault="0031287C" w:rsidP="00E62491">
      <w:pPr>
        <w:spacing w:before="240"/>
        <w:contextualSpacing/>
        <w:rPr>
          <w:rFonts w:cs="Times New Roman"/>
          <w:sz w:val="24"/>
          <w:szCs w:val="24"/>
        </w:rPr>
      </w:pPr>
      <w:r w:rsidRPr="00E84E08">
        <w:rPr>
          <w:rFonts w:cs="Times New Roman"/>
          <w:sz w:val="24"/>
          <w:szCs w:val="24"/>
        </w:rPr>
        <w:t>The main local governing authorities in London are elected borough councils</w:t>
      </w:r>
      <w:r w:rsidR="00E62491">
        <w:rPr>
          <w:rFonts w:cs="Times New Roman"/>
          <w:sz w:val="24"/>
          <w:szCs w:val="24"/>
        </w:rPr>
        <w:t xml:space="preserve"> </w:t>
      </w:r>
      <w:r w:rsidRPr="00E84E08">
        <w:rPr>
          <w:rFonts w:cs="Times New Roman"/>
          <w:sz w:val="24"/>
          <w:szCs w:val="24"/>
        </w:rPr>
        <w:t xml:space="preserve">that have responsibility for a </w:t>
      </w:r>
      <w:r w:rsidR="00910F65" w:rsidRPr="00E84E08">
        <w:rPr>
          <w:rFonts w:cs="Times New Roman"/>
          <w:sz w:val="24"/>
          <w:szCs w:val="24"/>
        </w:rPr>
        <w:t xml:space="preserve">range of </w:t>
      </w:r>
      <w:r w:rsidRPr="00E84E08">
        <w:rPr>
          <w:rFonts w:cs="Times New Roman"/>
          <w:sz w:val="24"/>
          <w:szCs w:val="24"/>
        </w:rPr>
        <w:t>municipal services, including education</w:t>
      </w:r>
      <w:r w:rsidR="00910F65" w:rsidRPr="00E84E08">
        <w:rPr>
          <w:rFonts w:cs="Times New Roman"/>
          <w:sz w:val="24"/>
          <w:szCs w:val="24"/>
        </w:rPr>
        <w:t xml:space="preserve">, </w:t>
      </w:r>
      <w:r w:rsidR="00E84E08">
        <w:rPr>
          <w:rFonts w:cs="Times New Roman"/>
          <w:sz w:val="24"/>
          <w:szCs w:val="24"/>
        </w:rPr>
        <w:t xml:space="preserve">that are </w:t>
      </w:r>
      <w:r w:rsidR="00910F65" w:rsidRPr="00E84E08">
        <w:rPr>
          <w:rFonts w:cs="Times New Roman"/>
          <w:sz w:val="24"/>
          <w:szCs w:val="24"/>
        </w:rPr>
        <w:t>funded primarily by grants from the national government</w:t>
      </w:r>
      <w:r w:rsidRPr="00E84E08">
        <w:rPr>
          <w:rFonts w:cs="Times New Roman"/>
          <w:sz w:val="24"/>
          <w:szCs w:val="24"/>
        </w:rPr>
        <w:t>.</w:t>
      </w:r>
      <w:r w:rsidR="00910F65" w:rsidRPr="00E84E08">
        <w:rPr>
          <w:rStyle w:val="FootnoteReference"/>
          <w:rFonts w:cs="Times New Roman"/>
          <w:sz w:val="24"/>
          <w:szCs w:val="24"/>
        </w:rPr>
        <w:footnoteReference w:id="2"/>
      </w:r>
      <w:r w:rsidRPr="00E84E08">
        <w:rPr>
          <w:rFonts w:cs="Times New Roman"/>
          <w:sz w:val="24"/>
          <w:szCs w:val="24"/>
        </w:rPr>
        <w:t xml:space="preserve"> Inner London is comprised of </w:t>
      </w:r>
      <w:r w:rsidR="00E62491">
        <w:rPr>
          <w:rFonts w:cs="Times New Roman"/>
          <w:sz w:val="24"/>
          <w:szCs w:val="24"/>
        </w:rPr>
        <w:t>13 boroughs (</w:t>
      </w:r>
      <w:r w:rsidR="000F5B4F" w:rsidRPr="00E84E08">
        <w:rPr>
          <w:rFonts w:cs="Times New Roman"/>
          <w:sz w:val="24"/>
          <w:szCs w:val="24"/>
        </w:rPr>
        <w:t xml:space="preserve">14 if one includes the </w:t>
      </w:r>
      <w:r w:rsidR="00E84E08">
        <w:rPr>
          <w:rFonts w:cs="Times New Roman"/>
          <w:sz w:val="24"/>
          <w:szCs w:val="24"/>
        </w:rPr>
        <w:t>C</w:t>
      </w:r>
      <w:r w:rsidR="000F5B4F" w:rsidRPr="00E84E08">
        <w:rPr>
          <w:rFonts w:cs="Times New Roman"/>
          <w:sz w:val="24"/>
          <w:szCs w:val="24"/>
        </w:rPr>
        <w:t>it</w:t>
      </w:r>
      <w:r w:rsidR="00B062CF" w:rsidRPr="00E84E08">
        <w:rPr>
          <w:rFonts w:cs="Times New Roman"/>
          <w:sz w:val="24"/>
          <w:szCs w:val="24"/>
        </w:rPr>
        <w:t xml:space="preserve">y of London), all of which house </w:t>
      </w:r>
      <w:r w:rsidR="000F5B4F" w:rsidRPr="00E84E08">
        <w:rPr>
          <w:rFonts w:cs="Times New Roman"/>
          <w:sz w:val="24"/>
          <w:szCs w:val="24"/>
        </w:rPr>
        <w:t>large concentrations of</w:t>
      </w:r>
      <w:r w:rsidR="000F5B4F">
        <w:rPr>
          <w:rFonts w:cs="Times New Roman"/>
          <w:sz w:val="24"/>
          <w:szCs w:val="24"/>
        </w:rPr>
        <w:t xml:space="preserve"> economically disadvantaged and ethnic minority students.</w:t>
      </w:r>
      <w:r w:rsidR="00910F65">
        <w:rPr>
          <w:rStyle w:val="FootnoteReference"/>
          <w:rFonts w:cs="Times New Roman"/>
          <w:sz w:val="24"/>
          <w:szCs w:val="24"/>
        </w:rPr>
        <w:footnoteReference w:id="3"/>
      </w:r>
      <w:r w:rsidR="000F5B4F">
        <w:rPr>
          <w:rFonts w:cs="Times New Roman"/>
          <w:sz w:val="24"/>
          <w:szCs w:val="24"/>
        </w:rPr>
        <w:t xml:space="preserve"> </w:t>
      </w:r>
      <w:r w:rsidR="00703A9A">
        <w:rPr>
          <w:rFonts w:cs="Times New Roman"/>
          <w:sz w:val="24"/>
          <w:szCs w:val="24"/>
        </w:rPr>
        <w:t xml:space="preserve"> </w:t>
      </w:r>
      <w:r w:rsidR="00B8086A">
        <w:rPr>
          <w:rFonts w:cs="Times New Roman"/>
          <w:sz w:val="24"/>
          <w:szCs w:val="24"/>
        </w:rPr>
        <w:t xml:space="preserve">Currently, the populations of both Hackney and Tower Hamlets are about 250,000. </w:t>
      </w:r>
      <w:r w:rsidR="000F5B4F">
        <w:rPr>
          <w:rFonts w:cs="Times New Roman"/>
          <w:sz w:val="24"/>
          <w:szCs w:val="24"/>
        </w:rPr>
        <w:t xml:space="preserve"> </w:t>
      </w:r>
      <w:r w:rsidR="004942E8">
        <w:rPr>
          <w:rFonts w:cs="Times New Roman"/>
          <w:sz w:val="24"/>
          <w:szCs w:val="24"/>
        </w:rPr>
        <w:t>In 2014, Hackney had 52 primary schools and Tower Hamlets had 6</w:t>
      </w:r>
      <w:r w:rsidR="004E054A">
        <w:rPr>
          <w:rFonts w:cs="Times New Roman"/>
          <w:sz w:val="24"/>
          <w:szCs w:val="24"/>
        </w:rPr>
        <w:t>5</w:t>
      </w:r>
      <w:r w:rsidR="00433AC9">
        <w:rPr>
          <w:rFonts w:cs="Times New Roman"/>
          <w:sz w:val="24"/>
          <w:szCs w:val="24"/>
        </w:rPr>
        <w:t xml:space="preserve">, most of which serve children from age 4 to 11. </w:t>
      </w:r>
    </w:p>
    <w:p w14:paraId="292FCF90" w14:textId="77777777" w:rsidR="00703A9A" w:rsidRDefault="00703A9A" w:rsidP="00E0643C">
      <w:pPr>
        <w:contextualSpacing/>
        <w:rPr>
          <w:rFonts w:cs="Times New Roman"/>
          <w:sz w:val="24"/>
          <w:szCs w:val="24"/>
        </w:rPr>
      </w:pPr>
    </w:p>
    <w:p w14:paraId="2A3A9E28" w14:textId="7F7DB8AB" w:rsidR="00F313A1" w:rsidRDefault="00AB4A0D" w:rsidP="00E0643C">
      <w:pPr>
        <w:contextualSpacing/>
        <w:rPr>
          <w:rFonts w:cs="Times New Roman"/>
          <w:sz w:val="24"/>
          <w:szCs w:val="24"/>
        </w:rPr>
      </w:pPr>
      <w:r>
        <w:rPr>
          <w:rFonts w:cs="Times New Roman"/>
          <w:sz w:val="24"/>
          <w:szCs w:val="24"/>
        </w:rPr>
        <w:t>Among the</w:t>
      </w:r>
      <w:r w:rsidR="00B8086A">
        <w:rPr>
          <w:rFonts w:cs="Times New Roman"/>
          <w:sz w:val="24"/>
          <w:szCs w:val="24"/>
        </w:rPr>
        <w:t xml:space="preserve"> Inner London</w:t>
      </w:r>
      <w:r w:rsidR="00796415">
        <w:rPr>
          <w:rFonts w:cs="Times New Roman"/>
          <w:sz w:val="24"/>
          <w:szCs w:val="24"/>
        </w:rPr>
        <w:t xml:space="preserve"> boroughs</w:t>
      </w:r>
      <w:r w:rsidR="009253DC">
        <w:rPr>
          <w:rFonts w:cs="Times New Roman"/>
          <w:sz w:val="24"/>
          <w:szCs w:val="24"/>
        </w:rPr>
        <w:t xml:space="preserve"> in the mid-1990s</w:t>
      </w:r>
      <w:r w:rsidR="00796415">
        <w:rPr>
          <w:rFonts w:cs="Times New Roman"/>
          <w:sz w:val="24"/>
          <w:szCs w:val="24"/>
        </w:rPr>
        <w:t xml:space="preserve">, </w:t>
      </w:r>
      <w:r>
        <w:rPr>
          <w:rFonts w:cs="Times New Roman"/>
          <w:sz w:val="24"/>
          <w:szCs w:val="24"/>
        </w:rPr>
        <w:t>Hackney and Tower Hamlets were the most economically deprived</w:t>
      </w:r>
      <w:r w:rsidR="009253DC">
        <w:rPr>
          <w:rFonts w:cs="Times New Roman"/>
          <w:sz w:val="24"/>
          <w:szCs w:val="24"/>
        </w:rPr>
        <w:t xml:space="preserve">. </w:t>
      </w:r>
      <w:r>
        <w:rPr>
          <w:rFonts w:cs="Times New Roman"/>
          <w:sz w:val="24"/>
          <w:szCs w:val="24"/>
        </w:rPr>
        <w:t xml:space="preserve">In 1996, for example, the average percentage </w:t>
      </w:r>
      <w:r w:rsidR="00F87FA6">
        <w:rPr>
          <w:rFonts w:cs="Times New Roman"/>
          <w:sz w:val="24"/>
          <w:szCs w:val="24"/>
        </w:rPr>
        <w:t xml:space="preserve">of primary school students eligible for free school meals was </w:t>
      </w:r>
      <w:r w:rsidR="00503D63">
        <w:rPr>
          <w:rFonts w:cs="Times New Roman"/>
          <w:sz w:val="24"/>
          <w:szCs w:val="24"/>
        </w:rPr>
        <w:t>58.5</w:t>
      </w:r>
      <w:r w:rsidR="00F87FA6">
        <w:rPr>
          <w:rFonts w:cs="Times New Roman"/>
          <w:sz w:val="24"/>
          <w:szCs w:val="24"/>
        </w:rPr>
        <w:t xml:space="preserve"> percent in </w:t>
      </w:r>
      <w:r w:rsidR="00B062CF">
        <w:rPr>
          <w:rFonts w:cs="Times New Roman"/>
          <w:sz w:val="24"/>
          <w:szCs w:val="24"/>
        </w:rPr>
        <w:t>H</w:t>
      </w:r>
      <w:r w:rsidR="00910F65">
        <w:rPr>
          <w:rFonts w:cs="Times New Roman"/>
          <w:sz w:val="24"/>
          <w:szCs w:val="24"/>
        </w:rPr>
        <w:t>ackney</w:t>
      </w:r>
      <w:r w:rsidR="00F87FA6">
        <w:rPr>
          <w:rFonts w:cs="Times New Roman"/>
          <w:sz w:val="24"/>
          <w:szCs w:val="24"/>
        </w:rPr>
        <w:t xml:space="preserve"> and even higher</w:t>
      </w:r>
      <w:r w:rsidR="008D624B">
        <w:rPr>
          <w:rFonts w:cs="Times New Roman"/>
          <w:sz w:val="24"/>
          <w:szCs w:val="24"/>
        </w:rPr>
        <w:t xml:space="preserve"> at</w:t>
      </w:r>
      <w:r w:rsidR="00F87FA6">
        <w:rPr>
          <w:rFonts w:cs="Times New Roman"/>
          <w:sz w:val="24"/>
          <w:szCs w:val="24"/>
        </w:rPr>
        <w:t xml:space="preserve"> </w:t>
      </w:r>
      <w:r>
        <w:rPr>
          <w:rFonts w:cs="Times New Roman"/>
          <w:sz w:val="24"/>
          <w:szCs w:val="24"/>
        </w:rPr>
        <w:t>66.4 percent</w:t>
      </w:r>
      <w:r w:rsidR="000C7C18">
        <w:rPr>
          <w:rFonts w:cs="Times New Roman"/>
          <w:sz w:val="24"/>
          <w:szCs w:val="24"/>
        </w:rPr>
        <w:t>,</w:t>
      </w:r>
      <w:r>
        <w:rPr>
          <w:rFonts w:cs="Times New Roman"/>
          <w:sz w:val="24"/>
          <w:szCs w:val="24"/>
        </w:rPr>
        <w:t xml:space="preserve"> in Tower Hamlets</w:t>
      </w:r>
      <w:r w:rsidR="000C7C18">
        <w:rPr>
          <w:rFonts w:cs="Times New Roman"/>
          <w:sz w:val="24"/>
          <w:szCs w:val="24"/>
        </w:rPr>
        <w:t xml:space="preserve">, </w:t>
      </w:r>
      <w:r w:rsidR="00B8086A">
        <w:rPr>
          <w:rFonts w:cs="Times New Roman"/>
          <w:sz w:val="24"/>
          <w:szCs w:val="24"/>
        </w:rPr>
        <w:t xml:space="preserve">which suffered from high unemployment.  Both percentages were far above the </w:t>
      </w:r>
      <w:r w:rsidR="007E2866">
        <w:rPr>
          <w:rFonts w:cs="Times New Roman"/>
          <w:sz w:val="24"/>
          <w:szCs w:val="24"/>
        </w:rPr>
        <w:t xml:space="preserve">48.3 </w:t>
      </w:r>
      <w:r w:rsidR="00E62491">
        <w:rPr>
          <w:rFonts w:cs="Times New Roman"/>
          <w:sz w:val="24"/>
          <w:szCs w:val="24"/>
        </w:rPr>
        <w:t xml:space="preserve">proportion </w:t>
      </w:r>
      <w:r w:rsidR="00E84E08">
        <w:rPr>
          <w:rFonts w:cs="Times New Roman"/>
          <w:sz w:val="24"/>
          <w:szCs w:val="24"/>
        </w:rPr>
        <w:t xml:space="preserve">across all the Inner London boroughs. </w:t>
      </w:r>
      <w:r w:rsidR="00B8086A">
        <w:rPr>
          <w:rFonts w:cs="Times New Roman"/>
          <w:sz w:val="24"/>
          <w:szCs w:val="24"/>
        </w:rPr>
        <w:t xml:space="preserve"> </w:t>
      </w:r>
    </w:p>
    <w:p w14:paraId="25D22C04" w14:textId="77777777" w:rsidR="00B8086A" w:rsidRPr="007D027A" w:rsidRDefault="00B8086A" w:rsidP="00E0643C">
      <w:pPr>
        <w:contextualSpacing/>
        <w:rPr>
          <w:rFonts w:cs="Times New Roman"/>
          <w:i/>
          <w:sz w:val="24"/>
          <w:szCs w:val="24"/>
        </w:rPr>
      </w:pPr>
    </w:p>
    <w:p w14:paraId="0AEF53DF" w14:textId="66047EC2" w:rsidR="00910F65" w:rsidRDefault="00866211" w:rsidP="00E0643C">
      <w:pPr>
        <w:contextualSpacing/>
        <w:rPr>
          <w:rFonts w:cs="Times New Roman"/>
          <w:sz w:val="24"/>
          <w:szCs w:val="24"/>
        </w:rPr>
      </w:pPr>
      <w:r>
        <w:rPr>
          <w:rFonts w:cs="Times New Roman"/>
          <w:sz w:val="24"/>
          <w:szCs w:val="24"/>
        </w:rPr>
        <w:t xml:space="preserve">Both boroughs also </w:t>
      </w:r>
      <w:r w:rsidR="008D624B">
        <w:rPr>
          <w:rFonts w:cs="Times New Roman"/>
          <w:sz w:val="24"/>
          <w:szCs w:val="24"/>
        </w:rPr>
        <w:t>have large numbers of ethnic minority students.</w:t>
      </w:r>
      <w:r>
        <w:rPr>
          <w:rFonts w:cs="Times New Roman"/>
          <w:sz w:val="24"/>
          <w:szCs w:val="24"/>
        </w:rPr>
        <w:t xml:space="preserve"> In the late 1990s, about 80 percent of the pupils in Hackney were from minority ethnic groups. </w:t>
      </w:r>
      <w:r w:rsidR="00B8086A">
        <w:rPr>
          <w:rFonts w:cs="Times New Roman"/>
          <w:sz w:val="24"/>
          <w:szCs w:val="24"/>
        </w:rPr>
        <w:t xml:space="preserve"> The largest groups at that time were</w:t>
      </w:r>
      <w:r>
        <w:rPr>
          <w:rFonts w:cs="Times New Roman"/>
          <w:sz w:val="24"/>
          <w:szCs w:val="24"/>
        </w:rPr>
        <w:t xml:space="preserve"> pupils of African and Caribbean heritage</w:t>
      </w:r>
      <w:r w:rsidR="007D0531">
        <w:rPr>
          <w:rFonts w:cs="Times New Roman"/>
          <w:sz w:val="24"/>
          <w:szCs w:val="24"/>
        </w:rPr>
        <w:t>,</w:t>
      </w:r>
      <w:r>
        <w:rPr>
          <w:rFonts w:cs="Times New Roman"/>
          <w:sz w:val="24"/>
          <w:szCs w:val="24"/>
        </w:rPr>
        <w:t xml:space="preserve"> </w:t>
      </w:r>
      <w:r w:rsidR="00393325">
        <w:rPr>
          <w:rFonts w:cs="Times New Roman"/>
          <w:sz w:val="24"/>
          <w:szCs w:val="24"/>
        </w:rPr>
        <w:t>but many other groups</w:t>
      </w:r>
      <w:r w:rsidR="007D0531">
        <w:rPr>
          <w:rFonts w:cs="Times New Roman"/>
          <w:sz w:val="24"/>
          <w:szCs w:val="24"/>
        </w:rPr>
        <w:t>,</w:t>
      </w:r>
      <w:r w:rsidR="00393325">
        <w:rPr>
          <w:rFonts w:cs="Times New Roman"/>
          <w:sz w:val="24"/>
          <w:szCs w:val="24"/>
        </w:rPr>
        <w:t xml:space="preserve"> including pupils </w:t>
      </w:r>
      <w:r>
        <w:rPr>
          <w:rFonts w:cs="Times New Roman"/>
          <w:sz w:val="24"/>
          <w:szCs w:val="24"/>
        </w:rPr>
        <w:t>of Turkish and Kurdish background</w:t>
      </w:r>
      <w:r w:rsidR="007D0531">
        <w:rPr>
          <w:rFonts w:cs="Times New Roman"/>
          <w:sz w:val="24"/>
          <w:szCs w:val="24"/>
        </w:rPr>
        <w:t>,</w:t>
      </w:r>
      <w:r w:rsidR="00393325">
        <w:rPr>
          <w:rFonts w:cs="Times New Roman"/>
          <w:sz w:val="24"/>
          <w:szCs w:val="24"/>
        </w:rPr>
        <w:t xml:space="preserve"> were also represented</w:t>
      </w:r>
      <w:r>
        <w:rPr>
          <w:rFonts w:cs="Times New Roman"/>
          <w:sz w:val="24"/>
          <w:szCs w:val="24"/>
        </w:rPr>
        <w:t xml:space="preserve">.  </w:t>
      </w:r>
      <w:r w:rsidR="007D0531">
        <w:rPr>
          <w:rFonts w:cs="Times New Roman"/>
          <w:sz w:val="24"/>
          <w:szCs w:val="24"/>
        </w:rPr>
        <w:t>For a</w:t>
      </w:r>
      <w:r>
        <w:rPr>
          <w:rFonts w:cs="Times New Roman"/>
          <w:sz w:val="24"/>
          <w:szCs w:val="24"/>
        </w:rPr>
        <w:t>bout half the pu</w:t>
      </w:r>
      <w:r w:rsidR="00393325">
        <w:rPr>
          <w:rFonts w:cs="Times New Roman"/>
          <w:sz w:val="24"/>
          <w:szCs w:val="24"/>
        </w:rPr>
        <w:t>p</w:t>
      </w:r>
      <w:r>
        <w:rPr>
          <w:rFonts w:cs="Times New Roman"/>
          <w:sz w:val="24"/>
          <w:szCs w:val="24"/>
        </w:rPr>
        <w:t>ils</w:t>
      </w:r>
      <w:r w:rsidR="007D0531">
        <w:rPr>
          <w:rFonts w:cs="Times New Roman"/>
          <w:sz w:val="24"/>
          <w:szCs w:val="24"/>
        </w:rPr>
        <w:t xml:space="preserve"> </w:t>
      </w:r>
      <w:r>
        <w:rPr>
          <w:rFonts w:cs="Times New Roman"/>
          <w:sz w:val="24"/>
          <w:szCs w:val="24"/>
        </w:rPr>
        <w:t xml:space="preserve">English </w:t>
      </w:r>
      <w:r w:rsidR="007D0531">
        <w:rPr>
          <w:rFonts w:cs="Times New Roman"/>
          <w:sz w:val="24"/>
          <w:szCs w:val="24"/>
        </w:rPr>
        <w:t xml:space="preserve">was </w:t>
      </w:r>
      <w:r>
        <w:rPr>
          <w:rFonts w:cs="Times New Roman"/>
          <w:sz w:val="24"/>
          <w:szCs w:val="24"/>
        </w:rPr>
        <w:t xml:space="preserve">an additional language </w:t>
      </w:r>
      <w:r w:rsidR="00393325">
        <w:rPr>
          <w:rFonts w:cs="Times New Roman"/>
          <w:sz w:val="24"/>
          <w:szCs w:val="24"/>
        </w:rPr>
        <w:t>(Ofsted, 2003)</w:t>
      </w:r>
      <w:r w:rsidR="00692684">
        <w:rPr>
          <w:rFonts w:cs="Times New Roman"/>
          <w:sz w:val="24"/>
          <w:szCs w:val="24"/>
        </w:rPr>
        <w:t>.</w:t>
      </w:r>
      <w:r w:rsidR="00393325">
        <w:rPr>
          <w:rFonts w:cs="Times New Roman"/>
          <w:sz w:val="24"/>
          <w:szCs w:val="24"/>
        </w:rPr>
        <w:t xml:space="preserve"> </w:t>
      </w:r>
      <w:r w:rsidR="00910F65">
        <w:rPr>
          <w:rFonts w:cs="Times New Roman"/>
          <w:sz w:val="24"/>
          <w:szCs w:val="24"/>
        </w:rPr>
        <w:t xml:space="preserve">The population of Tower Hamlets </w:t>
      </w:r>
      <w:r w:rsidR="00692684">
        <w:rPr>
          <w:rFonts w:cs="Times New Roman"/>
          <w:sz w:val="24"/>
          <w:szCs w:val="24"/>
        </w:rPr>
        <w:t xml:space="preserve">underwent significant </w:t>
      </w:r>
      <w:r w:rsidR="00692684">
        <w:rPr>
          <w:rFonts w:cs="Times New Roman"/>
          <w:sz w:val="24"/>
          <w:szCs w:val="24"/>
        </w:rPr>
        <w:lastRenderedPageBreak/>
        <w:t xml:space="preserve">change </w:t>
      </w:r>
      <w:r w:rsidR="006C5276">
        <w:rPr>
          <w:rFonts w:cs="Times New Roman"/>
          <w:sz w:val="24"/>
          <w:szCs w:val="24"/>
        </w:rPr>
        <w:t xml:space="preserve">prior to the </w:t>
      </w:r>
      <w:r w:rsidR="00692684">
        <w:rPr>
          <w:rFonts w:cs="Times New Roman"/>
          <w:sz w:val="24"/>
          <w:szCs w:val="24"/>
        </w:rPr>
        <w:t>mid-</w:t>
      </w:r>
      <w:r w:rsidR="006C5276">
        <w:rPr>
          <w:rFonts w:cs="Times New Roman"/>
          <w:sz w:val="24"/>
          <w:szCs w:val="24"/>
        </w:rPr>
        <w:t xml:space="preserve">1990s.  </w:t>
      </w:r>
      <w:r w:rsidR="00692684">
        <w:rPr>
          <w:rFonts w:cs="Times New Roman"/>
          <w:sz w:val="24"/>
          <w:szCs w:val="24"/>
        </w:rPr>
        <w:t xml:space="preserve">The borough was initially </w:t>
      </w:r>
      <w:r w:rsidR="00910F65">
        <w:rPr>
          <w:rFonts w:cs="Times New Roman"/>
          <w:sz w:val="24"/>
          <w:szCs w:val="24"/>
        </w:rPr>
        <w:t>largely white working class</w:t>
      </w:r>
      <w:r w:rsidR="00692684">
        <w:rPr>
          <w:rFonts w:cs="Times New Roman"/>
          <w:sz w:val="24"/>
          <w:szCs w:val="24"/>
        </w:rPr>
        <w:t>,</w:t>
      </w:r>
      <w:r w:rsidR="00B8086A">
        <w:rPr>
          <w:rFonts w:cs="Times New Roman"/>
          <w:sz w:val="24"/>
          <w:szCs w:val="24"/>
        </w:rPr>
        <w:t xml:space="preserve"> with many </w:t>
      </w:r>
      <w:r w:rsidR="006C5276">
        <w:rPr>
          <w:rFonts w:cs="Times New Roman"/>
          <w:sz w:val="24"/>
          <w:szCs w:val="24"/>
        </w:rPr>
        <w:t>of the adult</w:t>
      </w:r>
      <w:r w:rsidR="00033F7C">
        <w:rPr>
          <w:rFonts w:cs="Times New Roman"/>
          <w:sz w:val="24"/>
          <w:szCs w:val="24"/>
        </w:rPr>
        <w:t>s</w:t>
      </w:r>
      <w:r w:rsidR="006C5276">
        <w:rPr>
          <w:rFonts w:cs="Times New Roman"/>
          <w:sz w:val="24"/>
          <w:szCs w:val="24"/>
        </w:rPr>
        <w:t xml:space="preserve"> working at the docks before they shut down </w:t>
      </w:r>
      <w:r w:rsidR="00692684">
        <w:rPr>
          <w:rFonts w:cs="Times New Roman"/>
          <w:sz w:val="24"/>
          <w:szCs w:val="24"/>
        </w:rPr>
        <w:t>in the 1980s.  By the mid -</w:t>
      </w:r>
      <w:r w:rsidR="00FE1097">
        <w:rPr>
          <w:rFonts w:cs="Times New Roman"/>
          <w:sz w:val="24"/>
          <w:szCs w:val="24"/>
        </w:rPr>
        <w:t xml:space="preserve">1990s </w:t>
      </w:r>
      <w:r w:rsidR="00393325">
        <w:rPr>
          <w:rFonts w:cs="Times New Roman"/>
          <w:sz w:val="24"/>
          <w:szCs w:val="24"/>
        </w:rPr>
        <w:t xml:space="preserve">less than 40 percent of the population was </w:t>
      </w:r>
      <w:r w:rsidR="007D0531">
        <w:rPr>
          <w:rFonts w:cs="Times New Roman"/>
          <w:sz w:val="24"/>
          <w:szCs w:val="24"/>
        </w:rPr>
        <w:t>White</w:t>
      </w:r>
      <w:r w:rsidR="00393325">
        <w:rPr>
          <w:rFonts w:cs="Times New Roman"/>
          <w:sz w:val="24"/>
          <w:szCs w:val="24"/>
        </w:rPr>
        <w:t xml:space="preserve"> English</w:t>
      </w:r>
      <w:r w:rsidR="00692684">
        <w:rPr>
          <w:rFonts w:cs="Times New Roman"/>
          <w:sz w:val="24"/>
          <w:szCs w:val="24"/>
        </w:rPr>
        <w:t xml:space="preserve"> </w:t>
      </w:r>
      <w:r w:rsidR="00224A90">
        <w:rPr>
          <w:rFonts w:cs="Times New Roman"/>
          <w:sz w:val="24"/>
          <w:szCs w:val="24"/>
        </w:rPr>
        <w:t xml:space="preserve">and an </w:t>
      </w:r>
      <w:r w:rsidR="00692684">
        <w:rPr>
          <w:rFonts w:cs="Times New Roman"/>
          <w:sz w:val="24"/>
          <w:szCs w:val="24"/>
        </w:rPr>
        <w:t>increasingly large proportio</w:t>
      </w:r>
      <w:r w:rsidR="00224A90">
        <w:rPr>
          <w:rFonts w:cs="Times New Roman"/>
          <w:sz w:val="24"/>
          <w:szCs w:val="24"/>
        </w:rPr>
        <w:t>n was of B</w:t>
      </w:r>
      <w:r w:rsidR="009D505C">
        <w:rPr>
          <w:rFonts w:cs="Times New Roman"/>
          <w:sz w:val="24"/>
          <w:szCs w:val="24"/>
        </w:rPr>
        <w:t>a</w:t>
      </w:r>
      <w:r w:rsidR="00224A90">
        <w:rPr>
          <w:rFonts w:cs="Times New Roman"/>
          <w:sz w:val="24"/>
          <w:szCs w:val="24"/>
        </w:rPr>
        <w:t>ngladeshi heritage. Many B</w:t>
      </w:r>
      <w:r w:rsidR="009D505C">
        <w:rPr>
          <w:rFonts w:cs="Times New Roman"/>
          <w:sz w:val="24"/>
          <w:szCs w:val="24"/>
        </w:rPr>
        <w:t>a</w:t>
      </w:r>
      <w:r w:rsidR="00224A90">
        <w:rPr>
          <w:rFonts w:cs="Times New Roman"/>
          <w:sz w:val="24"/>
          <w:szCs w:val="24"/>
        </w:rPr>
        <w:t xml:space="preserve">ngladeshis had come </w:t>
      </w:r>
      <w:r w:rsidR="00692684">
        <w:rPr>
          <w:rFonts w:cs="Times New Roman"/>
          <w:sz w:val="24"/>
          <w:szCs w:val="24"/>
        </w:rPr>
        <w:t xml:space="preserve">to London as refuge from natural disasters in their country </w:t>
      </w:r>
      <w:r w:rsidR="00224A90">
        <w:rPr>
          <w:rFonts w:cs="Times New Roman"/>
          <w:sz w:val="24"/>
          <w:szCs w:val="24"/>
        </w:rPr>
        <w:t xml:space="preserve">in the late 1980s </w:t>
      </w:r>
      <w:r w:rsidR="00692684">
        <w:rPr>
          <w:rFonts w:cs="Times New Roman"/>
          <w:sz w:val="24"/>
          <w:szCs w:val="24"/>
        </w:rPr>
        <w:t xml:space="preserve">and </w:t>
      </w:r>
      <w:r w:rsidR="00610E12">
        <w:rPr>
          <w:rFonts w:cs="Times New Roman"/>
          <w:sz w:val="24"/>
          <w:szCs w:val="24"/>
        </w:rPr>
        <w:t xml:space="preserve">settled in Tower Hamlets where they found ample low-priced housing. </w:t>
      </w:r>
      <w:r w:rsidR="00692684">
        <w:rPr>
          <w:rFonts w:cs="Times New Roman"/>
          <w:sz w:val="24"/>
          <w:szCs w:val="24"/>
        </w:rPr>
        <w:t xml:space="preserve"> </w:t>
      </w:r>
      <w:r w:rsidR="00033F7C">
        <w:rPr>
          <w:rFonts w:cs="Times New Roman"/>
          <w:sz w:val="24"/>
          <w:szCs w:val="24"/>
        </w:rPr>
        <w:t xml:space="preserve">As of </w:t>
      </w:r>
      <w:r w:rsidR="00D06CCD">
        <w:rPr>
          <w:rFonts w:cs="Times New Roman"/>
          <w:sz w:val="24"/>
          <w:szCs w:val="24"/>
        </w:rPr>
        <w:t>1998</w:t>
      </w:r>
      <w:r w:rsidR="00033F7C">
        <w:rPr>
          <w:rFonts w:cs="Times New Roman"/>
          <w:sz w:val="24"/>
          <w:szCs w:val="24"/>
        </w:rPr>
        <w:t xml:space="preserve"> </w:t>
      </w:r>
      <w:r w:rsidR="00610E12">
        <w:rPr>
          <w:rFonts w:cs="Times New Roman"/>
          <w:sz w:val="24"/>
          <w:szCs w:val="24"/>
        </w:rPr>
        <w:t>T</w:t>
      </w:r>
      <w:r w:rsidR="00224A90">
        <w:rPr>
          <w:rFonts w:cs="Times New Roman"/>
          <w:sz w:val="24"/>
          <w:szCs w:val="24"/>
        </w:rPr>
        <w:t>o</w:t>
      </w:r>
      <w:r w:rsidR="00033F7C">
        <w:rPr>
          <w:rFonts w:cs="Times New Roman"/>
          <w:sz w:val="24"/>
          <w:szCs w:val="24"/>
        </w:rPr>
        <w:t xml:space="preserve">wer Hamlets </w:t>
      </w:r>
      <w:r w:rsidR="00FE1097">
        <w:rPr>
          <w:rFonts w:cs="Times New Roman"/>
          <w:sz w:val="24"/>
          <w:szCs w:val="24"/>
        </w:rPr>
        <w:t xml:space="preserve">had the highest proportion of pupils for whom English was an additional language in the country </w:t>
      </w:r>
      <w:r w:rsidR="00393325">
        <w:rPr>
          <w:rFonts w:cs="Times New Roman"/>
          <w:sz w:val="24"/>
          <w:szCs w:val="24"/>
        </w:rPr>
        <w:t>(Ofsted</w:t>
      </w:r>
      <w:r w:rsidR="00692684">
        <w:rPr>
          <w:rFonts w:cs="Times New Roman"/>
          <w:sz w:val="24"/>
          <w:szCs w:val="24"/>
        </w:rPr>
        <w:t>,</w:t>
      </w:r>
      <w:r w:rsidR="004F355C">
        <w:rPr>
          <w:rFonts w:cs="Times New Roman"/>
          <w:sz w:val="24"/>
          <w:szCs w:val="24"/>
        </w:rPr>
        <w:t xml:space="preserve"> </w:t>
      </w:r>
      <w:r w:rsidR="00393325">
        <w:rPr>
          <w:rFonts w:cs="Times New Roman"/>
          <w:sz w:val="24"/>
          <w:szCs w:val="24"/>
        </w:rPr>
        <w:t>T</w:t>
      </w:r>
      <w:r w:rsidR="00692684">
        <w:rPr>
          <w:rFonts w:cs="Times New Roman"/>
          <w:sz w:val="24"/>
          <w:szCs w:val="24"/>
        </w:rPr>
        <w:t xml:space="preserve">ower Hamlets, </w:t>
      </w:r>
      <w:r w:rsidR="00393325">
        <w:rPr>
          <w:rFonts w:cs="Times New Roman"/>
          <w:sz w:val="24"/>
          <w:szCs w:val="24"/>
        </w:rPr>
        <w:t>1998)</w:t>
      </w:r>
      <w:r w:rsidR="009253DC">
        <w:rPr>
          <w:rFonts w:cs="Times New Roman"/>
          <w:sz w:val="24"/>
          <w:szCs w:val="24"/>
        </w:rPr>
        <w:t>.</w:t>
      </w:r>
    </w:p>
    <w:p w14:paraId="1A715141" w14:textId="77777777" w:rsidR="00F87FA6" w:rsidRDefault="00F87FA6" w:rsidP="00E0643C">
      <w:pPr>
        <w:contextualSpacing/>
        <w:rPr>
          <w:rFonts w:cs="Times New Roman"/>
          <w:sz w:val="24"/>
          <w:szCs w:val="24"/>
        </w:rPr>
      </w:pPr>
    </w:p>
    <w:p w14:paraId="0846E9C8" w14:textId="557FBED4" w:rsidR="00E0643C" w:rsidRDefault="00F15A4C" w:rsidP="00E0643C">
      <w:pPr>
        <w:contextualSpacing/>
        <w:rPr>
          <w:rFonts w:cs="Times New Roman"/>
          <w:sz w:val="24"/>
          <w:szCs w:val="24"/>
        </w:rPr>
      </w:pPr>
      <w:r>
        <w:rPr>
          <w:rFonts w:cs="Times New Roman"/>
          <w:sz w:val="24"/>
          <w:szCs w:val="24"/>
        </w:rPr>
        <w:t>In the late 1990s, both borough</w:t>
      </w:r>
      <w:r w:rsidR="00241BBF">
        <w:rPr>
          <w:rFonts w:cs="Times New Roman"/>
          <w:sz w:val="24"/>
          <w:szCs w:val="24"/>
        </w:rPr>
        <w:t>s</w:t>
      </w:r>
      <w:r>
        <w:rPr>
          <w:rFonts w:cs="Times New Roman"/>
          <w:sz w:val="24"/>
          <w:szCs w:val="24"/>
        </w:rPr>
        <w:t xml:space="preserve"> suffered from weak education systems. </w:t>
      </w:r>
      <w:r w:rsidR="009B04A4">
        <w:rPr>
          <w:rFonts w:cs="Times New Roman"/>
          <w:sz w:val="24"/>
          <w:szCs w:val="24"/>
        </w:rPr>
        <w:t xml:space="preserve">That is clear from </w:t>
      </w:r>
      <w:r w:rsidR="00A9429E">
        <w:rPr>
          <w:rFonts w:cs="Times New Roman"/>
          <w:sz w:val="24"/>
          <w:szCs w:val="24"/>
        </w:rPr>
        <w:t>r</w:t>
      </w:r>
      <w:r w:rsidR="00B062CF">
        <w:rPr>
          <w:rFonts w:cs="Times New Roman"/>
          <w:sz w:val="24"/>
          <w:szCs w:val="24"/>
        </w:rPr>
        <w:t xml:space="preserve">eports </w:t>
      </w:r>
      <w:r w:rsidR="00775798">
        <w:rPr>
          <w:rFonts w:cs="Times New Roman"/>
          <w:sz w:val="24"/>
          <w:szCs w:val="24"/>
        </w:rPr>
        <w:t xml:space="preserve">published by the national school inspection agency: </w:t>
      </w:r>
      <w:r w:rsidR="00610E12">
        <w:rPr>
          <w:rFonts w:cs="Times New Roman"/>
          <w:sz w:val="24"/>
          <w:szCs w:val="24"/>
        </w:rPr>
        <w:t xml:space="preserve">Her Majesty’s </w:t>
      </w:r>
      <w:r w:rsidR="00775798">
        <w:rPr>
          <w:rFonts w:cs="Times New Roman"/>
          <w:sz w:val="24"/>
          <w:szCs w:val="24"/>
        </w:rPr>
        <w:t>O</w:t>
      </w:r>
      <w:r w:rsidR="00964CC0">
        <w:rPr>
          <w:rFonts w:cs="Times New Roman"/>
          <w:sz w:val="24"/>
          <w:szCs w:val="24"/>
        </w:rPr>
        <w:t xml:space="preserve">ffice for Standards in Education, Children’s Services and Skills </w:t>
      </w:r>
      <w:r w:rsidR="00E62491">
        <w:rPr>
          <w:rFonts w:cs="Times New Roman"/>
          <w:sz w:val="24"/>
          <w:szCs w:val="24"/>
        </w:rPr>
        <w:t>(Ofsted).</w:t>
      </w:r>
      <w:r w:rsidR="006B6D87">
        <w:rPr>
          <w:rStyle w:val="FootnoteReference"/>
          <w:rFonts w:cs="Times New Roman"/>
          <w:sz w:val="24"/>
          <w:szCs w:val="24"/>
        </w:rPr>
        <w:footnoteReference w:id="4"/>
      </w:r>
      <w:r w:rsidR="00964CC0">
        <w:rPr>
          <w:rFonts w:cs="Times New Roman"/>
          <w:sz w:val="24"/>
          <w:szCs w:val="24"/>
        </w:rPr>
        <w:t xml:space="preserve">  </w:t>
      </w:r>
      <w:r w:rsidR="00775798">
        <w:rPr>
          <w:rFonts w:cs="Times New Roman"/>
          <w:sz w:val="24"/>
          <w:szCs w:val="24"/>
        </w:rPr>
        <w:t xml:space="preserve">Although </w:t>
      </w:r>
      <w:r w:rsidR="00964CC0">
        <w:rPr>
          <w:rFonts w:cs="Times New Roman"/>
          <w:sz w:val="24"/>
          <w:szCs w:val="24"/>
        </w:rPr>
        <w:t xml:space="preserve">Ofsted’s primary responsibility is to </w:t>
      </w:r>
      <w:r w:rsidR="00775798">
        <w:rPr>
          <w:rFonts w:cs="Times New Roman"/>
          <w:sz w:val="24"/>
          <w:szCs w:val="24"/>
        </w:rPr>
        <w:t xml:space="preserve">inspect </w:t>
      </w:r>
      <w:r w:rsidR="009B04A4">
        <w:rPr>
          <w:rFonts w:cs="Times New Roman"/>
          <w:sz w:val="24"/>
          <w:szCs w:val="24"/>
        </w:rPr>
        <w:t xml:space="preserve">and report </w:t>
      </w:r>
      <w:r w:rsidR="00E62491">
        <w:rPr>
          <w:rFonts w:cs="Times New Roman"/>
          <w:sz w:val="24"/>
          <w:szCs w:val="24"/>
        </w:rPr>
        <w:t xml:space="preserve">periodically </w:t>
      </w:r>
      <w:r w:rsidR="009B04A4">
        <w:rPr>
          <w:rFonts w:cs="Times New Roman"/>
          <w:sz w:val="24"/>
          <w:szCs w:val="24"/>
        </w:rPr>
        <w:t xml:space="preserve">on the quality of </w:t>
      </w:r>
      <w:r w:rsidR="002902D6">
        <w:rPr>
          <w:rFonts w:cs="Times New Roman"/>
          <w:sz w:val="24"/>
          <w:szCs w:val="24"/>
        </w:rPr>
        <w:t xml:space="preserve">each state-funded </w:t>
      </w:r>
      <w:r w:rsidR="00A9429E">
        <w:rPr>
          <w:rFonts w:cs="Times New Roman"/>
          <w:sz w:val="24"/>
          <w:szCs w:val="24"/>
        </w:rPr>
        <w:t>school</w:t>
      </w:r>
      <w:r w:rsidR="00E62491">
        <w:rPr>
          <w:rFonts w:cs="Times New Roman"/>
          <w:sz w:val="24"/>
          <w:szCs w:val="24"/>
        </w:rPr>
        <w:t xml:space="preserve">, </w:t>
      </w:r>
      <w:r w:rsidR="00A9429E">
        <w:rPr>
          <w:rFonts w:cs="Times New Roman"/>
          <w:sz w:val="24"/>
          <w:szCs w:val="24"/>
        </w:rPr>
        <w:t>i</w:t>
      </w:r>
      <w:r w:rsidR="00964CC0">
        <w:rPr>
          <w:rFonts w:cs="Times New Roman"/>
          <w:sz w:val="24"/>
          <w:szCs w:val="24"/>
        </w:rPr>
        <w:t xml:space="preserve">t also </w:t>
      </w:r>
      <w:r w:rsidR="00DD2734">
        <w:rPr>
          <w:rFonts w:cs="Times New Roman"/>
          <w:sz w:val="24"/>
          <w:szCs w:val="24"/>
        </w:rPr>
        <w:t xml:space="preserve">issues </w:t>
      </w:r>
      <w:r w:rsidR="00964CC0">
        <w:rPr>
          <w:rFonts w:cs="Times New Roman"/>
          <w:sz w:val="24"/>
          <w:szCs w:val="24"/>
        </w:rPr>
        <w:t>reports on broader cross cutting themes and</w:t>
      </w:r>
      <w:r w:rsidR="00703A9A">
        <w:rPr>
          <w:rFonts w:cs="Times New Roman"/>
          <w:sz w:val="24"/>
          <w:szCs w:val="24"/>
        </w:rPr>
        <w:t>,</w:t>
      </w:r>
      <w:r w:rsidR="00964CC0">
        <w:rPr>
          <w:rFonts w:cs="Times New Roman"/>
          <w:sz w:val="24"/>
          <w:szCs w:val="24"/>
        </w:rPr>
        <w:t xml:space="preserve"> </w:t>
      </w:r>
      <w:r w:rsidR="00775798">
        <w:rPr>
          <w:rFonts w:cs="Times New Roman"/>
          <w:sz w:val="24"/>
          <w:szCs w:val="24"/>
        </w:rPr>
        <w:t xml:space="preserve">until </w:t>
      </w:r>
      <w:r w:rsidR="009B04A4">
        <w:rPr>
          <w:rFonts w:cs="Times New Roman"/>
          <w:sz w:val="24"/>
          <w:szCs w:val="24"/>
        </w:rPr>
        <w:t>2008</w:t>
      </w:r>
      <w:r w:rsidR="00703A9A">
        <w:rPr>
          <w:rFonts w:cs="Times New Roman"/>
          <w:sz w:val="24"/>
          <w:szCs w:val="24"/>
        </w:rPr>
        <w:t>,</w:t>
      </w:r>
      <w:r w:rsidR="009B04A4">
        <w:rPr>
          <w:rFonts w:cs="Times New Roman"/>
          <w:sz w:val="24"/>
          <w:szCs w:val="24"/>
        </w:rPr>
        <w:t xml:space="preserve"> </w:t>
      </w:r>
      <w:r w:rsidR="00775798">
        <w:rPr>
          <w:rFonts w:cs="Times New Roman"/>
          <w:sz w:val="24"/>
          <w:szCs w:val="24"/>
        </w:rPr>
        <w:t xml:space="preserve">also published performance assessments of </w:t>
      </w:r>
      <w:r w:rsidR="002902D6">
        <w:rPr>
          <w:rFonts w:cs="Times New Roman"/>
          <w:sz w:val="24"/>
          <w:szCs w:val="24"/>
        </w:rPr>
        <w:t xml:space="preserve">the education services provided by </w:t>
      </w:r>
      <w:r w:rsidR="00775798">
        <w:rPr>
          <w:rFonts w:cs="Times New Roman"/>
          <w:sz w:val="24"/>
          <w:szCs w:val="24"/>
        </w:rPr>
        <w:t xml:space="preserve">boroughs. </w:t>
      </w:r>
      <w:r w:rsidR="00A9429E">
        <w:rPr>
          <w:rFonts w:cs="Times New Roman"/>
          <w:sz w:val="24"/>
          <w:szCs w:val="24"/>
        </w:rPr>
        <w:t xml:space="preserve"> In three reports between 1997 and 2000, Ofsted </w:t>
      </w:r>
      <w:r w:rsidR="009B04A4">
        <w:rPr>
          <w:rFonts w:cs="Times New Roman"/>
          <w:sz w:val="24"/>
          <w:szCs w:val="24"/>
        </w:rPr>
        <w:t>concluded that the Hackney council was providing “unsatisfactory or worse” support to its schools. (O</w:t>
      </w:r>
      <w:r w:rsidR="002902D6">
        <w:rPr>
          <w:rFonts w:cs="Times New Roman"/>
          <w:sz w:val="24"/>
          <w:szCs w:val="24"/>
        </w:rPr>
        <w:t xml:space="preserve">fsted </w:t>
      </w:r>
      <w:r w:rsidR="009B04A4">
        <w:rPr>
          <w:rFonts w:cs="Times New Roman"/>
          <w:sz w:val="24"/>
          <w:szCs w:val="24"/>
        </w:rPr>
        <w:t>2003).  Similarly</w:t>
      </w:r>
      <w:r w:rsidR="004F355C">
        <w:rPr>
          <w:rFonts w:cs="Times New Roman"/>
          <w:sz w:val="24"/>
          <w:szCs w:val="24"/>
        </w:rPr>
        <w:t>,</w:t>
      </w:r>
      <w:r w:rsidR="009B04A4">
        <w:rPr>
          <w:rFonts w:cs="Times New Roman"/>
          <w:sz w:val="24"/>
          <w:szCs w:val="24"/>
        </w:rPr>
        <w:t xml:space="preserve"> a 1998 Ofsted report on Tower Hamlets </w:t>
      </w:r>
      <w:r w:rsidR="00C23BF3">
        <w:rPr>
          <w:rFonts w:cs="Times New Roman"/>
          <w:sz w:val="24"/>
          <w:szCs w:val="24"/>
        </w:rPr>
        <w:t xml:space="preserve">was </w:t>
      </w:r>
      <w:r w:rsidR="000C7AA4">
        <w:rPr>
          <w:rFonts w:cs="Times New Roman"/>
          <w:sz w:val="24"/>
          <w:szCs w:val="24"/>
        </w:rPr>
        <w:t xml:space="preserve">highly </w:t>
      </w:r>
      <w:r w:rsidR="00C23BF3">
        <w:rPr>
          <w:rFonts w:cs="Times New Roman"/>
          <w:sz w:val="24"/>
          <w:szCs w:val="24"/>
        </w:rPr>
        <w:t xml:space="preserve">critical of its education provision, concluding that the council was wasting funds, </w:t>
      </w:r>
      <w:r w:rsidR="007D0531">
        <w:rPr>
          <w:rFonts w:cs="Times New Roman"/>
          <w:sz w:val="24"/>
          <w:szCs w:val="24"/>
        </w:rPr>
        <w:t xml:space="preserve">failing to meet </w:t>
      </w:r>
      <w:r w:rsidR="00C23BF3">
        <w:rPr>
          <w:rFonts w:cs="Times New Roman"/>
          <w:sz w:val="24"/>
          <w:szCs w:val="24"/>
        </w:rPr>
        <w:t>the needs of all it students, and not working effectively with the schools</w:t>
      </w:r>
      <w:r w:rsidR="000C7AA4">
        <w:rPr>
          <w:rFonts w:cs="Times New Roman"/>
          <w:sz w:val="24"/>
          <w:szCs w:val="24"/>
        </w:rPr>
        <w:t xml:space="preserve"> (Ofsted, 1998)</w:t>
      </w:r>
      <w:r w:rsidR="00C23BF3">
        <w:rPr>
          <w:rFonts w:cs="Times New Roman"/>
          <w:sz w:val="24"/>
          <w:szCs w:val="24"/>
        </w:rPr>
        <w:t xml:space="preserve">. </w:t>
      </w:r>
      <w:r w:rsidR="000C7AA4">
        <w:rPr>
          <w:rFonts w:cs="Times New Roman"/>
          <w:sz w:val="24"/>
          <w:szCs w:val="24"/>
        </w:rPr>
        <w:t>Furthe</w:t>
      </w:r>
      <w:r w:rsidR="006B57B7">
        <w:rPr>
          <w:rFonts w:cs="Times New Roman"/>
          <w:sz w:val="24"/>
          <w:szCs w:val="24"/>
        </w:rPr>
        <w:t xml:space="preserve">r, Ofsted noted that </w:t>
      </w:r>
      <w:r w:rsidR="000C7AA4">
        <w:rPr>
          <w:rFonts w:cs="Times New Roman"/>
          <w:sz w:val="24"/>
          <w:szCs w:val="24"/>
        </w:rPr>
        <w:t>pupils in both borough</w:t>
      </w:r>
      <w:r w:rsidR="006B57B7">
        <w:rPr>
          <w:rFonts w:cs="Times New Roman"/>
          <w:sz w:val="24"/>
          <w:szCs w:val="24"/>
        </w:rPr>
        <w:t>s</w:t>
      </w:r>
      <w:r w:rsidR="000C7AA4">
        <w:rPr>
          <w:rFonts w:cs="Times New Roman"/>
          <w:sz w:val="24"/>
          <w:szCs w:val="24"/>
        </w:rPr>
        <w:t xml:space="preserve"> </w:t>
      </w:r>
      <w:r w:rsidR="00796415">
        <w:rPr>
          <w:rFonts w:cs="Times New Roman"/>
          <w:sz w:val="24"/>
          <w:szCs w:val="24"/>
        </w:rPr>
        <w:t>wer</w:t>
      </w:r>
      <w:r w:rsidR="006B57B7">
        <w:rPr>
          <w:rFonts w:cs="Times New Roman"/>
          <w:sz w:val="24"/>
          <w:szCs w:val="24"/>
        </w:rPr>
        <w:t>e</w:t>
      </w:r>
      <w:r w:rsidR="00796415">
        <w:rPr>
          <w:rFonts w:cs="Times New Roman"/>
          <w:sz w:val="24"/>
          <w:szCs w:val="24"/>
        </w:rPr>
        <w:t xml:space="preserve"> </w:t>
      </w:r>
      <w:r w:rsidR="000C7AA4">
        <w:rPr>
          <w:rFonts w:cs="Times New Roman"/>
          <w:sz w:val="24"/>
          <w:szCs w:val="24"/>
        </w:rPr>
        <w:t xml:space="preserve">performing far below national averages. </w:t>
      </w:r>
    </w:p>
    <w:p w14:paraId="238355DB" w14:textId="77777777" w:rsidR="00610E12" w:rsidRDefault="00610E12" w:rsidP="00E0643C">
      <w:pPr>
        <w:contextualSpacing/>
        <w:rPr>
          <w:rFonts w:cs="Times New Roman"/>
          <w:sz w:val="24"/>
          <w:szCs w:val="24"/>
        </w:rPr>
      </w:pPr>
    </w:p>
    <w:p w14:paraId="00816EE1" w14:textId="30E2580B" w:rsidR="00952F59" w:rsidRPr="00150DC6" w:rsidRDefault="00E0643C" w:rsidP="00150DC6">
      <w:pPr>
        <w:rPr>
          <w:rFonts w:cs="Times New Roman"/>
          <w:sz w:val="24"/>
          <w:szCs w:val="24"/>
        </w:rPr>
      </w:pPr>
      <w:r w:rsidRPr="00150DC6">
        <w:rPr>
          <w:rFonts w:cs="Times New Roman"/>
          <w:sz w:val="24"/>
          <w:szCs w:val="24"/>
        </w:rPr>
        <w:t xml:space="preserve">Over the last two decades both boroughs </w:t>
      </w:r>
      <w:r w:rsidR="00796415" w:rsidRPr="00150DC6">
        <w:rPr>
          <w:rFonts w:cs="Times New Roman"/>
          <w:sz w:val="24"/>
          <w:szCs w:val="24"/>
        </w:rPr>
        <w:t xml:space="preserve">have </w:t>
      </w:r>
      <w:r w:rsidRPr="00150DC6">
        <w:rPr>
          <w:rFonts w:cs="Times New Roman"/>
          <w:sz w:val="24"/>
          <w:szCs w:val="24"/>
        </w:rPr>
        <w:t xml:space="preserve">recorded </w:t>
      </w:r>
      <w:r w:rsidR="007C0D64" w:rsidRPr="00150DC6">
        <w:rPr>
          <w:rFonts w:cs="Times New Roman"/>
          <w:sz w:val="24"/>
          <w:szCs w:val="24"/>
        </w:rPr>
        <w:t>significant i</w:t>
      </w:r>
      <w:r w:rsidRPr="00150DC6">
        <w:rPr>
          <w:rFonts w:cs="Times New Roman"/>
          <w:sz w:val="24"/>
          <w:szCs w:val="24"/>
        </w:rPr>
        <w:t xml:space="preserve">ncreases in student performance </w:t>
      </w:r>
      <w:r w:rsidR="001B1774" w:rsidRPr="00150DC6">
        <w:rPr>
          <w:rFonts w:cs="Times New Roman"/>
          <w:sz w:val="24"/>
          <w:szCs w:val="24"/>
        </w:rPr>
        <w:t xml:space="preserve">at the primary level </w:t>
      </w:r>
      <w:r w:rsidR="007C0D64" w:rsidRPr="00150DC6">
        <w:rPr>
          <w:rFonts w:cs="Times New Roman"/>
          <w:sz w:val="24"/>
          <w:szCs w:val="24"/>
        </w:rPr>
        <w:t xml:space="preserve">relative to national averages, </w:t>
      </w:r>
      <w:r w:rsidR="00796415" w:rsidRPr="00150DC6">
        <w:rPr>
          <w:rFonts w:cs="Times New Roman"/>
          <w:sz w:val="24"/>
          <w:szCs w:val="24"/>
        </w:rPr>
        <w:t xml:space="preserve">although the timing of the increases </w:t>
      </w:r>
      <w:r w:rsidR="00A874B0">
        <w:rPr>
          <w:rFonts w:cs="Times New Roman"/>
          <w:sz w:val="24"/>
          <w:szCs w:val="24"/>
        </w:rPr>
        <w:t xml:space="preserve">differs </w:t>
      </w:r>
      <w:r w:rsidR="007C0D64" w:rsidRPr="00150DC6">
        <w:rPr>
          <w:rFonts w:cs="Times New Roman"/>
          <w:sz w:val="24"/>
          <w:szCs w:val="24"/>
        </w:rPr>
        <w:t>in the two boroughs. Figure 1a for Tower Hamlets and 1b for Hackney show the trends</w:t>
      </w:r>
      <w:r w:rsidR="00150DC6">
        <w:rPr>
          <w:rFonts w:cs="Times New Roman"/>
          <w:sz w:val="24"/>
          <w:szCs w:val="24"/>
        </w:rPr>
        <w:t xml:space="preserve">. </w:t>
      </w:r>
      <w:r w:rsidR="007C0D64" w:rsidRPr="00150DC6">
        <w:rPr>
          <w:rFonts w:cs="Times New Roman"/>
          <w:sz w:val="24"/>
          <w:szCs w:val="24"/>
        </w:rPr>
        <w:t>We use two axes for each graph because of changes over time in the commonly reported summary measures of achievement. In all cases, the</w:t>
      </w:r>
      <w:r w:rsidR="002C66BE" w:rsidRPr="00150DC6">
        <w:rPr>
          <w:rFonts w:cs="Times New Roman"/>
          <w:sz w:val="24"/>
          <w:szCs w:val="24"/>
        </w:rPr>
        <w:t xml:space="preserve"> reported measures refer to the percentages of</w:t>
      </w:r>
      <w:r w:rsidR="007C0D64" w:rsidRPr="00150DC6">
        <w:rPr>
          <w:rFonts w:cs="Times New Roman"/>
          <w:sz w:val="24"/>
          <w:szCs w:val="24"/>
        </w:rPr>
        <w:t xml:space="preserve"> student</w:t>
      </w:r>
      <w:r w:rsidR="002C66BE" w:rsidRPr="00150DC6">
        <w:rPr>
          <w:rFonts w:cs="Times New Roman"/>
          <w:sz w:val="24"/>
          <w:szCs w:val="24"/>
        </w:rPr>
        <w:t>s</w:t>
      </w:r>
      <w:r w:rsidR="007C0D64" w:rsidRPr="00150DC6">
        <w:rPr>
          <w:rFonts w:cs="Times New Roman"/>
          <w:sz w:val="24"/>
          <w:szCs w:val="24"/>
        </w:rPr>
        <w:t xml:space="preserve"> perform</w:t>
      </w:r>
      <w:r w:rsidR="002C66BE" w:rsidRPr="00150DC6">
        <w:rPr>
          <w:rFonts w:cs="Times New Roman"/>
          <w:sz w:val="24"/>
          <w:szCs w:val="24"/>
        </w:rPr>
        <w:t>ing at</w:t>
      </w:r>
      <w:r w:rsidR="007C0D64" w:rsidRPr="00150DC6">
        <w:rPr>
          <w:rFonts w:cs="Times New Roman"/>
          <w:sz w:val="24"/>
          <w:szCs w:val="24"/>
        </w:rPr>
        <w:t xml:space="preserve"> a level of 4 or above on the national Key Stage 2 (KS2) tests given to </w:t>
      </w:r>
      <w:r w:rsidR="004F355C" w:rsidRPr="00150DC6">
        <w:rPr>
          <w:rFonts w:cs="Times New Roman"/>
          <w:sz w:val="24"/>
          <w:szCs w:val="24"/>
        </w:rPr>
        <w:t>11-year-olds</w:t>
      </w:r>
      <w:r w:rsidR="007C0D64" w:rsidRPr="00150DC6">
        <w:rPr>
          <w:rFonts w:cs="Times New Roman"/>
          <w:sz w:val="24"/>
          <w:szCs w:val="24"/>
        </w:rPr>
        <w:t xml:space="preserve"> at the end of primary school. These tests are based on the national curriculum and are graded externally, with standard 4 interpreted as grade-level performance. The scale of the left axis in </w:t>
      </w:r>
      <w:r w:rsidR="002C66BE" w:rsidRPr="00150DC6">
        <w:rPr>
          <w:rFonts w:cs="Times New Roman"/>
          <w:sz w:val="24"/>
          <w:szCs w:val="24"/>
        </w:rPr>
        <w:t>both figures (</w:t>
      </w:r>
      <w:r w:rsidR="007C0D64" w:rsidRPr="00150DC6">
        <w:rPr>
          <w:rFonts w:cs="Times New Roman"/>
          <w:sz w:val="24"/>
          <w:szCs w:val="24"/>
        </w:rPr>
        <w:t xml:space="preserve">relevant for the years 1996-2009) is the sum of the percentages of students scoring 4 or above in each of the three main subjects:  reading, mathematics, and science. Hence the maximum is 300 (3 X 100).  </w:t>
      </w:r>
      <w:r w:rsidR="002C66BE" w:rsidRPr="00150DC6">
        <w:rPr>
          <w:rFonts w:cs="Times New Roman"/>
          <w:sz w:val="24"/>
          <w:szCs w:val="24"/>
        </w:rPr>
        <w:t xml:space="preserve">The scale on the right of both figures (relevant for the years </w:t>
      </w:r>
      <w:r w:rsidR="00150DC6" w:rsidRPr="00150DC6">
        <w:rPr>
          <w:rFonts w:cs="Times New Roman"/>
          <w:sz w:val="24"/>
          <w:szCs w:val="24"/>
        </w:rPr>
        <w:t>2007-2014) is the percentage of student</w:t>
      </w:r>
      <w:r w:rsidR="00150DC6">
        <w:rPr>
          <w:rFonts w:cs="Times New Roman"/>
          <w:sz w:val="24"/>
          <w:szCs w:val="24"/>
        </w:rPr>
        <w:t>s</w:t>
      </w:r>
      <w:r w:rsidR="00150DC6" w:rsidRPr="00150DC6">
        <w:rPr>
          <w:rFonts w:cs="Times New Roman"/>
          <w:sz w:val="24"/>
          <w:szCs w:val="24"/>
        </w:rPr>
        <w:t xml:space="preserve"> scoring 4 or above in </w:t>
      </w:r>
      <w:r w:rsidR="00150DC6" w:rsidRPr="00150DC6">
        <w:rPr>
          <w:rFonts w:cs="Times New Roman"/>
          <w:sz w:val="24"/>
          <w:szCs w:val="24"/>
        </w:rPr>
        <w:lastRenderedPageBreak/>
        <w:t>both math and reading</w:t>
      </w:r>
      <w:r w:rsidR="00150DC6">
        <w:rPr>
          <w:rFonts w:cs="Times New Roman"/>
          <w:sz w:val="24"/>
          <w:szCs w:val="24"/>
        </w:rPr>
        <w:t xml:space="preserve">. Hence the maximum is </w:t>
      </w:r>
      <w:r w:rsidR="001B1774" w:rsidRPr="00150DC6">
        <w:rPr>
          <w:rFonts w:cs="Times New Roman"/>
          <w:sz w:val="24"/>
          <w:szCs w:val="24"/>
        </w:rPr>
        <w:t xml:space="preserve">100.  The </w:t>
      </w:r>
      <w:r w:rsidR="00150DC6">
        <w:rPr>
          <w:rFonts w:cs="Times New Roman"/>
          <w:sz w:val="24"/>
          <w:szCs w:val="24"/>
        </w:rPr>
        <w:t>availability of data for both measures</w:t>
      </w:r>
      <w:r w:rsidR="001B1774" w:rsidRPr="00150DC6">
        <w:rPr>
          <w:rFonts w:cs="Times New Roman"/>
          <w:sz w:val="24"/>
          <w:szCs w:val="24"/>
        </w:rPr>
        <w:t xml:space="preserve"> </w:t>
      </w:r>
      <w:r w:rsidR="00150DC6">
        <w:rPr>
          <w:rFonts w:cs="Times New Roman"/>
          <w:sz w:val="24"/>
          <w:szCs w:val="24"/>
        </w:rPr>
        <w:t xml:space="preserve">in </w:t>
      </w:r>
      <w:r w:rsidR="001B1774" w:rsidRPr="00150DC6">
        <w:rPr>
          <w:rFonts w:cs="Times New Roman"/>
          <w:sz w:val="24"/>
          <w:szCs w:val="24"/>
        </w:rPr>
        <w:t>200</w:t>
      </w:r>
      <w:r w:rsidR="00E87B78" w:rsidRPr="00150DC6">
        <w:rPr>
          <w:rFonts w:cs="Times New Roman"/>
          <w:sz w:val="24"/>
          <w:szCs w:val="24"/>
        </w:rPr>
        <w:t>7</w:t>
      </w:r>
      <w:r w:rsidR="00576E89" w:rsidRPr="00150DC6">
        <w:rPr>
          <w:rFonts w:cs="Times New Roman"/>
          <w:sz w:val="24"/>
          <w:szCs w:val="24"/>
        </w:rPr>
        <w:t xml:space="preserve">-2009 </w:t>
      </w:r>
      <w:r w:rsidR="00150DC6">
        <w:rPr>
          <w:rFonts w:cs="Times New Roman"/>
          <w:sz w:val="24"/>
          <w:szCs w:val="24"/>
        </w:rPr>
        <w:t xml:space="preserve">serves to </w:t>
      </w:r>
      <w:r w:rsidR="001B1774" w:rsidRPr="00150DC6">
        <w:rPr>
          <w:rFonts w:cs="Times New Roman"/>
          <w:sz w:val="24"/>
          <w:szCs w:val="24"/>
        </w:rPr>
        <w:t>provides some co</w:t>
      </w:r>
      <w:r w:rsidR="006B57B7" w:rsidRPr="00150DC6">
        <w:rPr>
          <w:rFonts w:cs="Times New Roman"/>
          <w:sz w:val="24"/>
          <w:szCs w:val="24"/>
        </w:rPr>
        <w:t xml:space="preserve">mparability </w:t>
      </w:r>
      <w:r w:rsidR="008B62B4" w:rsidRPr="00150DC6">
        <w:rPr>
          <w:rFonts w:cs="Times New Roman"/>
          <w:sz w:val="24"/>
          <w:szCs w:val="24"/>
        </w:rPr>
        <w:t xml:space="preserve">over </w:t>
      </w:r>
      <w:r w:rsidR="00150DC6">
        <w:rPr>
          <w:rFonts w:cs="Times New Roman"/>
          <w:sz w:val="24"/>
          <w:szCs w:val="24"/>
        </w:rPr>
        <w:t xml:space="preserve">the period. </w:t>
      </w:r>
      <w:r w:rsidR="002902D6">
        <w:rPr>
          <w:rStyle w:val="FootnoteReference"/>
          <w:rFonts w:cs="Times New Roman"/>
          <w:sz w:val="24"/>
          <w:szCs w:val="24"/>
        </w:rPr>
        <w:footnoteReference w:id="5"/>
      </w:r>
    </w:p>
    <w:p w14:paraId="008769AF" w14:textId="440F06D0" w:rsidR="00551EAF" w:rsidRDefault="00A874B0" w:rsidP="00E0643C">
      <w:pPr>
        <w:contextualSpacing/>
        <w:rPr>
          <w:rFonts w:cs="Times New Roman"/>
          <w:sz w:val="24"/>
          <w:szCs w:val="24"/>
        </w:rPr>
      </w:pPr>
      <w:r>
        <w:rPr>
          <w:noProof/>
          <w:lang w:val="en-GB" w:eastAsia="en-GB"/>
        </w:rPr>
        <w:drawing>
          <wp:inline distT="0" distB="0" distL="0" distR="0" wp14:anchorId="0F852E3C" wp14:editId="5AD99D74">
            <wp:extent cx="4600575" cy="26479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E1E0A" w14:textId="39D1F738" w:rsidR="00551EAF" w:rsidRDefault="00551EAF" w:rsidP="00E0643C">
      <w:pPr>
        <w:contextualSpacing/>
        <w:rPr>
          <w:rFonts w:cs="Times New Roman"/>
          <w:sz w:val="24"/>
          <w:szCs w:val="24"/>
        </w:rPr>
      </w:pPr>
    </w:p>
    <w:p w14:paraId="7B034533" w14:textId="57F2B5C7" w:rsidR="00551EAF" w:rsidRDefault="00A874B0" w:rsidP="00E0643C">
      <w:pPr>
        <w:contextualSpacing/>
        <w:rPr>
          <w:rFonts w:cs="Times New Roman"/>
          <w:sz w:val="24"/>
          <w:szCs w:val="24"/>
        </w:rPr>
      </w:pPr>
      <w:r>
        <w:rPr>
          <w:noProof/>
          <w:lang w:val="en-GB" w:eastAsia="en-GB"/>
        </w:rPr>
        <w:drawing>
          <wp:inline distT="0" distB="0" distL="0" distR="0" wp14:anchorId="15347620" wp14:editId="77EFF972">
            <wp:extent cx="4572000" cy="26479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82A5C5" w14:textId="77777777" w:rsidR="002902D6" w:rsidRDefault="002902D6" w:rsidP="00E0643C">
      <w:pPr>
        <w:contextualSpacing/>
        <w:rPr>
          <w:rFonts w:cs="Times New Roman"/>
          <w:sz w:val="24"/>
          <w:szCs w:val="24"/>
        </w:rPr>
      </w:pPr>
    </w:p>
    <w:p w14:paraId="7A1E544C" w14:textId="77777777" w:rsidR="001B1774" w:rsidRDefault="001B1774" w:rsidP="00E0643C">
      <w:pPr>
        <w:contextualSpacing/>
        <w:rPr>
          <w:rFonts w:cs="Times New Roman"/>
          <w:sz w:val="24"/>
          <w:szCs w:val="24"/>
        </w:rPr>
      </w:pPr>
    </w:p>
    <w:p w14:paraId="7894F0BA" w14:textId="77777777" w:rsidR="00CF2C65" w:rsidRDefault="00CF2C65" w:rsidP="00E0643C">
      <w:pPr>
        <w:contextualSpacing/>
        <w:rPr>
          <w:rFonts w:cs="Times New Roman"/>
          <w:sz w:val="24"/>
          <w:szCs w:val="24"/>
        </w:rPr>
      </w:pPr>
    </w:p>
    <w:p w14:paraId="04E3F900" w14:textId="765869BF" w:rsidR="00E0643C" w:rsidRDefault="006B57B7" w:rsidP="00E87B78">
      <w:pPr>
        <w:contextualSpacing/>
        <w:rPr>
          <w:rFonts w:cs="Times New Roman"/>
          <w:sz w:val="24"/>
          <w:szCs w:val="24"/>
        </w:rPr>
      </w:pPr>
      <w:r>
        <w:rPr>
          <w:rFonts w:cs="Times New Roman"/>
          <w:sz w:val="24"/>
          <w:szCs w:val="24"/>
        </w:rPr>
        <w:lastRenderedPageBreak/>
        <w:t xml:space="preserve">The first takeaway from the graphs is that achievement </w:t>
      </w:r>
      <w:r w:rsidR="00132A04">
        <w:rPr>
          <w:rFonts w:cs="Times New Roman"/>
          <w:sz w:val="24"/>
          <w:szCs w:val="24"/>
        </w:rPr>
        <w:t xml:space="preserve">of primary school </w:t>
      </w:r>
      <w:r w:rsidR="00F313A1">
        <w:rPr>
          <w:rFonts w:cs="Times New Roman"/>
          <w:sz w:val="24"/>
          <w:szCs w:val="24"/>
        </w:rPr>
        <w:t xml:space="preserve">pupils </w:t>
      </w:r>
      <w:r>
        <w:rPr>
          <w:rFonts w:cs="Times New Roman"/>
          <w:sz w:val="24"/>
          <w:szCs w:val="24"/>
        </w:rPr>
        <w:t xml:space="preserve">in both boroughs </w:t>
      </w:r>
      <w:r w:rsidR="007D0531">
        <w:rPr>
          <w:rFonts w:cs="Times New Roman"/>
          <w:sz w:val="24"/>
          <w:szCs w:val="24"/>
        </w:rPr>
        <w:t xml:space="preserve">was </w:t>
      </w:r>
      <w:r>
        <w:rPr>
          <w:rFonts w:cs="Times New Roman"/>
          <w:sz w:val="24"/>
          <w:szCs w:val="24"/>
        </w:rPr>
        <w:t>far below the national average in 1996</w:t>
      </w:r>
      <w:r w:rsidR="00DD2734">
        <w:rPr>
          <w:rFonts w:cs="Times New Roman"/>
          <w:sz w:val="24"/>
          <w:szCs w:val="24"/>
        </w:rPr>
        <w:t>, w</w:t>
      </w:r>
      <w:r>
        <w:rPr>
          <w:rFonts w:cs="Times New Roman"/>
          <w:sz w:val="24"/>
          <w:szCs w:val="24"/>
        </w:rPr>
        <w:t>ith the gap</w:t>
      </w:r>
      <w:r w:rsidR="00345946">
        <w:rPr>
          <w:rFonts w:cs="Times New Roman"/>
          <w:sz w:val="24"/>
          <w:szCs w:val="24"/>
        </w:rPr>
        <w:t>s</w:t>
      </w:r>
      <w:r>
        <w:rPr>
          <w:rFonts w:cs="Times New Roman"/>
          <w:sz w:val="24"/>
          <w:szCs w:val="24"/>
        </w:rPr>
        <w:t xml:space="preserve"> remaining relatively constant until 1998. </w:t>
      </w:r>
      <w:r w:rsidR="000E170E">
        <w:rPr>
          <w:rFonts w:cs="Times New Roman"/>
          <w:sz w:val="24"/>
          <w:szCs w:val="24"/>
        </w:rPr>
        <w:t xml:space="preserve"> The 1996 gaps placed the two boroughs among the three lowest performing local education authorities in the country. </w:t>
      </w:r>
      <w:r>
        <w:rPr>
          <w:rFonts w:cs="Times New Roman"/>
          <w:sz w:val="24"/>
          <w:szCs w:val="24"/>
        </w:rPr>
        <w:t xml:space="preserve"> Th</w:t>
      </w:r>
      <w:r w:rsidR="00345946">
        <w:rPr>
          <w:rFonts w:cs="Times New Roman"/>
          <w:sz w:val="24"/>
          <w:szCs w:val="24"/>
        </w:rPr>
        <w:t xml:space="preserve">e second is the remarkable rate of improvement in Tower Hamlets </w:t>
      </w:r>
      <w:r w:rsidR="00E87B78">
        <w:rPr>
          <w:rFonts w:cs="Times New Roman"/>
          <w:sz w:val="24"/>
          <w:szCs w:val="24"/>
        </w:rPr>
        <w:t xml:space="preserve">between 1998 and </w:t>
      </w:r>
      <w:r w:rsidR="00345946">
        <w:rPr>
          <w:rFonts w:cs="Times New Roman"/>
          <w:sz w:val="24"/>
          <w:szCs w:val="24"/>
        </w:rPr>
        <w:t xml:space="preserve">2001, with continued improvement (other than a minor downward blip in 2002) until </w:t>
      </w:r>
      <w:r w:rsidR="00E87B78">
        <w:rPr>
          <w:rFonts w:cs="Times New Roman"/>
          <w:sz w:val="24"/>
          <w:szCs w:val="24"/>
        </w:rPr>
        <w:t xml:space="preserve">the achievement of primary students in Tower Hamlets </w:t>
      </w:r>
      <w:r w:rsidR="00345946">
        <w:rPr>
          <w:rFonts w:cs="Times New Roman"/>
          <w:sz w:val="24"/>
          <w:szCs w:val="24"/>
        </w:rPr>
        <w:t xml:space="preserve">reached the national average in 2004. </w:t>
      </w:r>
      <w:r w:rsidR="00E87B78">
        <w:rPr>
          <w:rFonts w:cs="Times New Roman"/>
          <w:sz w:val="24"/>
          <w:szCs w:val="24"/>
        </w:rPr>
        <w:t xml:space="preserve"> </w:t>
      </w:r>
      <w:r w:rsidR="00345946">
        <w:rPr>
          <w:rFonts w:cs="Times New Roman"/>
          <w:sz w:val="24"/>
          <w:szCs w:val="24"/>
        </w:rPr>
        <w:t xml:space="preserve">In contrast, </w:t>
      </w:r>
      <w:r w:rsidR="00D0291D">
        <w:rPr>
          <w:rFonts w:cs="Times New Roman"/>
          <w:sz w:val="24"/>
          <w:szCs w:val="24"/>
        </w:rPr>
        <w:t xml:space="preserve">although there were clearly gains in achievement in Hackney prior to 2002, </w:t>
      </w:r>
      <w:r w:rsidR="00345946">
        <w:rPr>
          <w:rFonts w:cs="Times New Roman"/>
          <w:sz w:val="24"/>
          <w:szCs w:val="24"/>
        </w:rPr>
        <w:t xml:space="preserve">the most consistent </w:t>
      </w:r>
      <w:r w:rsidR="00E87B78">
        <w:rPr>
          <w:rFonts w:cs="Times New Roman"/>
          <w:sz w:val="24"/>
          <w:szCs w:val="24"/>
        </w:rPr>
        <w:t xml:space="preserve">upward trend </w:t>
      </w:r>
      <w:r w:rsidR="00345946">
        <w:rPr>
          <w:rFonts w:cs="Times New Roman"/>
          <w:sz w:val="24"/>
          <w:szCs w:val="24"/>
        </w:rPr>
        <w:t>in Hackney relative to the national average</w:t>
      </w:r>
      <w:r w:rsidR="00E87B78">
        <w:rPr>
          <w:rFonts w:cs="Times New Roman"/>
          <w:sz w:val="24"/>
          <w:szCs w:val="24"/>
        </w:rPr>
        <w:t xml:space="preserve"> did not </w:t>
      </w:r>
      <w:r w:rsidR="00132A04">
        <w:rPr>
          <w:rFonts w:cs="Times New Roman"/>
          <w:sz w:val="24"/>
          <w:szCs w:val="24"/>
        </w:rPr>
        <w:t xml:space="preserve">begin </w:t>
      </w:r>
      <w:r w:rsidR="00345946">
        <w:rPr>
          <w:rFonts w:cs="Times New Roman"/>
          <w:sz w:val="24"/>
          <w:szCs w:val="24"/>
        </w:rPr>
        <w:t>until 2006</w:t>
      </w:r>
      <w:r w:rsidR="007D0531">
        <w:rPr>
          <w:rFonts w:cs="Times New Roman"/>
          <w:sz w:val="24"/>
          <w:szCs w:val="24"/>
        </w:rPr>
        <w:t xml:space="preserve">, after which it </w:t>
      </w:r>
      <w:r w:rsidR="00E87B78">
        <w:rPr>
          <w:rFonts w:cs="Times New Roman"/>
          <w:sz w:val="24"/>
          <w:szCs w:val="24"/>
        </w:rPr>
        <w:t>continued gradually until the Hackney students reached the national average in 2011.  Since then</w:t>
      </w:r>
      <w:r w:rsidR="004F355C">
        <w:rPr>
          <w:rFonts w:cs="Times New Roman"/>
          <w:sz w:val="24"/>
          <w:szCs w:val="24"/>
        </w:rPr>
        <w:t>,</w:t>
      </w:r>
      <w:r w:rsidR="00E87B78">
        <w:rPr>
          <w:rFonts w:cs="Times New Roman"/>
          <w:sz w:val="24"/>
          <w:szCs w:val="24"/>
        </w:rPr>
        <w:t xml:space="preserve"> achievement in both boroughs has increased generally in line with the national average, but with </w:t>
      </w:r>
      <w:r w:rsidR="00576E89">
        <w:rPr>
          <w:rFonts w:cs="Times New Roman"/>
          <w:sz w:val="24"/>
          <w:szCs w:val="24"/>
        </w:rPr>
        <w:t xml:space="preserve">performance in </w:t>
      </w:r>
      <w:r w:rsidR="00E87B78">
        <w:rPr>
          <w:rFonts w:cs="Times New Roman"/>
          <w:sz w:val="24"/>
          <w:szCs w:val="24"/>
        </w:rPr>
        <w:t xml:space="preserve">Tower Hamlets </w:t>
      </w:r>
      <w:r w:rsidR="00DD2734">
        <w:rPr>
          <w:rFonts w:cs="Times New Roman"/>
          <w:sz w:val="24"/>
          <w:szCs w:val="24"/>
        </w:rPr>
        <w:t xml:space="preserve">remaining </w:t>
      </w:r>
      <w:r w:rsidR="00E87B78">
        <w:rPr>
          <w:rFonts w:cs="Times New Roman"/>
          <w:sz w:val="24"/>
          <w:szCs w:val="24"/>
        </w:rPr>
        <w:t>somewhat above</w:t>
      </w:r>
      <w:r w:rsidR="00DD2734">
        <w:rPr>
          <w:rFonts w:cs="Times New Roman"/>
          <w:sz w:val="24"/>
          <w:szCs w:val="24"/>
        </w:rPr>
        <w:t xml:space="preserve"> th</w:t>
      </w:r>
      <w:r w:rsidR="00A874B0">
        <w:rPr>
          <w:rFonts w:cs="Times New Roman"/>
          <w:sz w:val="24"/>
          <w:szCs w:val="24"/>
        </w:rPr>
        <w:t xml:space="preserve">at </w:t>
      </w:r>
      <w:r w:rsidR="00DD2734">
        <w:rPr>
          <w:rFonts w:cs="Times New Roman"/>
          <w:sz w:val="24"/>
          <w:szCs w:val="24"/>
        </w:rPr>
        <w:t>of</w:t>
      </w:r>
      <w:r w:rsidR="00E87B78">
        <w:rPr>
          <w:rFonts w:cs="Times New Roman"/>
          <w:sz w:val="24"/>
          <w:szCs w:val="24"/>
        </w:rPr>
        <w:t xml:space="preserve"> both</w:t>
      </w:r>
      <w:r w:rsidR="00576E89">
        <w:rPr>
          <w:rFonts w:cs="Times New Roman"/>
          <w:sz w:val="24"/>
          <w:szCs w:val="24"/>
        </w:rPr>
        <w:t xml:space="preserve"> </w:t>
      </w:r>
      <w:r w:rsidR="00E87B78">
        <w:rPr>
          <w:rFonts w:cs="Times New Roman"/>
          <w:sz w:val="24"/>
          <w:szCs w:val="24"/>
        </w:rPr>
        <w:t>Hackney and the nation</w:t>
      </w:r>
      <w:r w:rsidR="00576E89">
        <w:rPr>
          <w:rFonts w:cs="Times New Roman"/>
          <w:sz w:val="24"/>
          <w:szCs w:val="24"/>
        </w:rPr>
        <w:t xml:space="preserve">.  </w:t>
      </w:r>
    </w:p>
    <w:p w14:paraId="38D417FE" w14:textId="77777777" w:rsidR="00E87B78" w:rsidRDefault="00E87B78" w:rsidP="00E87B78">
      <w:pPr>
        <w:contextualSpacing/>
        <w:rPr>
          <w:rFonts w:cs="Times New Roman"/>
          <w:sz w:val="24"/>
          <w:szCs w:val="24"/>
        </w:rPr>
      </w:pPr>
    </w:p>
    <w:p w14:paraId="3BA93E72" w14:textId="6DE9118D" w:rsidR="00132A04" w:rsidRDefault="00E87B78" w:rsidP="00E87B78">
      <w:pPr>
        <w:contextualSpacing/>
        <w:rPr>
          <w:rFonts w:cs="Times New Roman"/>
          <w:sz w:val="24"/>
          <w:szCs w:val="24"/>
        </w:rPr>
      </w:pPr>
      <w:r>
        <w:rPr>
          <w:rFonts w:cs="Times New Roman"/>
          <w:sz w:val="24"/>
          <w:szCs w:val="24"/>
        </w:rPr>
        <w:t xml:space="preserve">Although our focus is on </w:t>
      </w:r>
      <w:r w:rsidR="00A23BC6">
        <w:rPr>
          <w:rFonts w:cs="Times New Roman"/>
          <w:sz w:val="24"/>
          <w:szCs w:val="24"/>
        </w:rPr>
        <w:t>Hackney and Tower Hamlets</w:t>
      </w:r>
      <w:r w:rsidR="00984C39">
        <w:rPr>
          <w:rFonts w:cs="Times New Roman"/>
          <w:sz w:val="24"/>
          <w:szCs w:val="24"/>
        </w:rPr>
        <w:t>,</w:t>
      </w:r>
      <w:r w:rsidR="00A23BC6">
        <w:rPr>
          <w:rFonts w:cs="Times New Roman"/>
          <w:sz w:val="24"/>
          <w:szCs w:val="24"/>
        </w:rPr>
        <w:t xml:space="preserve"> gains in student achievement are not unique to those boroughs.  </w:t>
      </w:r>
      <w:r w:rsidR="001E341A">
        <w:rPr>
          <w:rFonts w:cs="Times New Roman"/>
          <w:sz w:val="24"/>
          <w:szCs w:val="24"/>
        </w:rPr>
        <w:t>Indeed</w:t>
      </w:r>
      <w:r w:rsidR="00A23BC6">
        <w:rPr>
          <w:rFonts w:cs="Times New Roman"/>
          <w:sz w:val="24"/>
          <w:szCs w:val="24"/>
        </w:rPr>
        <w:t>, every</w:t>
      </w:r>
      <w:r w:rsidR="008312C2">
        <w:rPr>
          <w:rFonts w:cs="Times New Roman"/>
          <w:sz w:val="24"/>
          <w:szCs w:val="24"/>
        </w:rPr>
        <w:t xml:space="preserve"> </w:t>
      </w:r>
      <w:r w:rsidR="001E341A">
        <w:rPr>
          <w:rFonts w:cs="Times New Roman"/>
          <w:sz w:val="24"/>
          <w:szCs w:val="24"/>
        </w:rPr>
        <w:t xml:space="preserve">borough in </w:t>
      </w:r>
      <w:r w:rsidR="008312C2">
        <w:rPr>
          <w:rFonts w:cs="Times New Roman"/>
          <w:sz w:val="24"/>
          <w:szCs w:val="24"/>
        </w:rPr>
        <w:t xml:space="preserve">Inner London </w:t>
      </w:r>
      <w:r w:rsidR="00A23BC6">
        <w:rPr>
          <w:rFonts w:cs="Times New Roman"/>
          <w:sz w:val="24"/>
          <w:szCs w:val="24"/>
        </w:rPr>
        <w:t xml:space="preserve">except </w:t>
      </w:r>
      <w:r w:rsidR="00576E89">
        <w:rPr>
          <w:rFonts w:cs="Times New Roman"/>
          <w:sz w:val="24"/>
          <w:szCs w:val="24"/>
        </w:rPr>
        <w:t xml:space="preserve">one </w:t>
      </w:r>
      <w:r w:rsidR="00132A04">
        <w:rPr>
          <w:rFonts w:cs="Times New Roman"/>
          <w:sz w:val="24"/>
          <w:szCs w:val="24"/>
        </w:rPr>
        <w:t>i</w:t>
      </w:r>
      <w:r w:rsidR="00A23BC6">
        <w:rPr>
          <w:rFonts w:cs="Times New Roman"/>
          <w:sz w:val="24"/>
          <w:szCs w:val="24"/>
        </w:rPr>
        <w:t xml:space="preserve">n </w:t>
      </w:r>
      <w:r w:rsidR="008312C2">
        <w:rPr>
          <w:rFonts w:cs="Times New Roman"/>
          <w:sz w:val="24"/>
          <w:szCs w:val="24"/>
        </w:rPr>
        <w:t>2012</w:t>
      </w:r>
      <w:r w:rsidR="00984C39">
        <w:rPr>
          <w:rFonts w:cs="Times New Roman"/>
          <w:sz w:val="24"/>
          <w:szCs w:val="24"/>
        </w:rPr>
        <w:t>,</w:t>
      </w:r>
      <w:r w:rsidR="008312C2">
        <w:rPr>
          <w:rFonts w:cs="Times New Roman"/>
          <w:sz w:val="24"/>
          <w:szCs w:val="24"/>
        </w:rPr>
        <w:t xml:space="preserve"> and all of them in 2013 and 2014</w:t>
      </w:r>
      <w:r w:rsidR="00984C39">
        <w:rPr>
          <w:rFonts w:cs="Times New Roman"/>
          <w:sz w:val="24"/>
          <w:szCs w:val="24"/>
        </w:rPr>
        <w:t>,</w:t>
      </w:r>
      <w:r w:rsidR="008312C2">
        <w:rPr>
          <w:rFonts w:cs="Times New Roman"/>
          <w:sz w:val="24"/>
          <w:szCs w:val="24"/>
        </w:rPr>
        <w:t xml:space="preserve"> </w:t>
      </w:r>
      <w:r w:rsidR="00A23BC6">
        <w:rPr>
          <w:rFonts w:cs="Times New Roman"/>
          <w:sz w:val="24"/>
          <w:szCs w:val="24"/>
        </w:rPr>
        <w:t>featured proficiency rates at or above the national average</w:t>
      </w:r>
      <w:r w:rsidR="008312C2">
        <w:rPr>
          <w:rFonts w:cs="Times New Roman"/>
          <w:sz w:val="24"/>
          <w:szCs w:val="24"/>
        </w:rPr>
        <w:t xml:space="preserve">. This performance is impressive given that the percentage of low income students in </w:t>
      </w:r>
      <w:r w:rsidR="0064045F">
        <w:rPr>
          <w:rFonts w:cs="Times New Roman"/>
          <w:sz w:val="24"/>
          <w:szCs w:val="24"/>
        </w:rPr>
        <w:t xml:space="preserve">all </w:t>
      </w:r>
      <w:r w:rsidR="008312C2">
        <w:rPr>
          <w:rFonts w:cs="Times New Roman"/>
          <w:sz w:val="24"/>
          <w:szCs w:val="24"/>
        </w:rPr>
        <w:t xml:space="preserve">the Inner London boroughs far exceeds the national average.  In 2013, for example, </w:t>
      </w:r>
      <w:r w:rsidR="001E341A">
        <w:rPr>
          <w:rFonts w:cs="Times New Roman"/>
          <w:sz w:val="24"/>
          <w:szCs w:val="24"/>
        </w:rPr>
        <w:t xml:space="preserve">while </w:t>
      </w:r>
      <w:r w:rsidR="00984C39">
        <w:rPr>
          <w:rFonts w:cs="Times New Roman"/>
          <w:sz w:val="24"/>
          <w:szCs w:val="24"/>
        </w:rPr>
        <w:t>18 percent of the primary school students nationally were from low income families, as defined by eligibility for free school meals</w:t>
      </w:r>
      <w:r w:rsidR="008068B5">
        <w:rPr>
          <w:rStyle w:val="FootnoteReference"/>
          <w:rFonts w:cs="Times New Roman"/>
          <w:sz w:val="24"/>
          <w:szCs w:val="24"/>
        </w:rPr>
        <w:footnoteReference w:id="6"/>
      </w:r>
      <w:r w:rsidR="00984C39">
        <w:rPr>
          <w:rFonts w:cs="Times New Roman"/>
          <w:sz w:val="24"/>
          <w:szCs w:val="24"/>
        </w:rPr>
        <w:t xml:space="preserve">, the </w:t>
      </w:r>
      <w:r w:rsidR="001E341A">
        <w:rPr>
          <w:rFonts w:cs="Times New Roman"/>
          <w:sz w:val="24"/>
          <w:szCs w:val="24"/>
        </w:rPr>
        <w:t xml:space="preserve">comparable percentages </w:t>
      </w:r>
      <w:r w:rsidR="00984C39">
        <w:rPr>
          <w:rFonts w:cs="Times New Roman"/>
          <w:sz w:val="24"/>
          <w:szCs w:val="24"/>
        </w:rPr>
        <w:t>ranged from 26 to 48 across Inner London boroughs, with the highest percent</w:t>
      </w:r>
      <w:r w:rsidR="001E341A">
        <w:rPr>
          <w:rFonts w:cs="Times New Roman"/>
          <w:sz w:val="24"/>
          <w:szCs w:val="24"/>
        </w:rPr>
        <w:t xml:space="preserve">age </w:t>
      </w:r>
      <w:r w:rsidR="00984C39">
        <w:rPr>
          <w:rFonts w:cs="Times New Roman"/>
          <w:sz w:val="24"/>
          <w:szCs w:val="24"/>
        </w:rPr>
        <w:t xml:space="preserve">in Tower Hamlets. </w:t>
      </w:r>
      <w:r w:rsidR="00F313A1">
        <w:rPr>
          <w:rFonts w:cs="Times New Roman"/>
          <w:sz w:val="24"/>
          <w:szCs w:val="24"/>
        </w:rPr>
        <w:t>For some purposes</w:t>
      </w:r>
      <w:r w:rsidR="00B07025">
        <w:rPr>
          <w:rFonts w:cs="Times New Roman"/>
          <w:sz w:val="24"/>
          <w:szCs w:val="24"/>
        </w:rPr>
        <w:t>, including the distribution of additional funds for schools serving disadvantaged students</w:t>
      </w:r>
      <w:r w:rsidR="00F313A1">
        <w:rPr>
          <w:rFonts w:cs="Times New Roman"/>
          <w:sz w:val="24"/>
          <w:szCs w:val="24"/>
        </w:rPr>
        <w:t xml:space="preserve">, </w:t>
      </w:r>
      <w:r w:rsidR="00AF4038">
        <w:rPr>
          <w:rFonts w:cs="Times New Roman"/>
          <w:sz w:val="24"/>
          <w:szCs w:val="24"/>
        </w:rPr>
        <w:t>t</w:t>
      </w:r>
      <w:r w:rsidR="00F313A1">
        <w:rPr>
          <w:rFonts w:cs="Times New Roman"/>
          <w:sz w:val="24"/>
          <w:szCs w:val="24"/>
        </w:rPr>
        <w:t xml:space="preserve">he national government now also uses a broader measure of disadvantage, </w:t>
      </w:r>
      <w:r w:rsidR="00AF4038">
        <w:rPr>
          <w:rFonts w:cs="Times New Roman"/>
          <w:sz w:val="24"/>
          <w:szCs w:val="24"/>
        </w:rPr>
        <w:t>namely whether a pupil has been eligible for free school meals in any of the prior six years or is cared for by the state</w:t>
      </w:r>
      <w:r w:rsidR="006A14FA">
        <w:rPr>
          <w:rFonts w:cs="Times New Roman"/>
          <w:sz w:val="24"/>
          <w:szCs w:val="24"/>
        </w:rPr>
        <w:t xml:space="preserve"> .</w:t>
      </w:r>
      <w:r w:rsidR="00AF4038">
        <w:rPr>
          <w:rFonts w:cs="Times New Roman"/>
          <w:sz w:val="24"/>
          <w:szCs w:val="24"/>
        </w:rPr>
        <w:t xml:space="preserve"> By this measure </w:t>
      </w:r>
      <w:r w:rsidR="001E341A">
        <w:rPr>
          <w:rFonts w:cs="Times New Roman"/>
          <w:sz w:val="24"/>
          <w:szCs w:val="24"/>
        </w:rPr>
        <w:t xml:space="preserve">31 </w:t>
      </w:r>
      <w:r w:rsidR="00AF4038">
        <w:rPr>
          <w:rFonts w:cs="Times New Roman"/>
          <w:sz w:val="24"/>
          <w:szCs w:val="24"/>
        </w:rPr>
        <w:t xml:space="preserve">percent </w:t>
      </w:r>
      <w:r w:rsidR="001E341A">
        <w:rPr>
          <w:rFonts w:cs="Times New Roman"/>
          <w:sz w:val="24"/>
          <w:szCs w:val="24"/>
        </w:rPr>
        <w:t xml:space="preserve">of the country’s primary school children were disadvantaged, </w:t>
      </w:r>
      <w:r w:rsidR="0064045F">
        <w:rPr>
          <w:rFonts w:cs="Times New Roman"/>
          <w:sz w:val="24"/>
          <w:szCs w:val="24"/>
        </w:rPr>
        <w:t xml:space="preserve">far below the range of </w:t>
      </w:r>
      <w:r w:rsidR="001E341A">
        <w:rPr>
          <w:rFonts w:cs="Times New Roman"/>
          <w:sz w:val="24"/>
          <w:szCs w:val="24"/>
        </w:rPr>
        <w:t xml:space="preserve">42 to 72 percent </w:t>
      </w:r>
      <w:r w:rsidR="00984C39">
        <w:rPr>
          <w:rFonts w:cs="Times New Roman"/>
          <w:sz w:val="24"/>
          <w:szCs w:val="24"/>
        </w:rPr>
        <w:t xml:space="preserve">across boroughs in </w:t>
      </w:r>
      <w:r w:rsidR="00F313A1">
        <w:rPr>
          <w:rFonts w:cs="Times New Roman"/>
          <w:sz w:val="24"/>
          <w:szCs w:val="24"/>
        </w:rPr>
        <w:t>I</w:t>
      </w:r>
      <w:r w:rsidR="00984C39">
        <w:rPr>
          <w:rFonts w:cs="Times New Roman"/>
          <w:sz w:val="24"/>
          <w:szCs w:val="24"/>
        </w:rPr>
        <w:t>nner London</w:t>
      </w:r>
      <w:r w:rsidR="002E17FE">
        <w:rPr>
          <w:rFonts w:cs="Times New Roman"/>
          <w:sz w:val="24"/>
          <w:szCs w:val="24"/>
        </w:rPr>
        <w:t>.</w:t>
      </w:r>
      <w:r w:rsidR="00984C39">
        <w:rPr>
          <w:rStyle w:val="FootnoteReference"/>
          <w:rFonts w:cs="Times New Roman"/>
          <w:sz w:val="24"/>
          <w:szCs w:val="24"/>
        </w:rPr>
        <w:footnoteReference w:id="7"/>
      </w:r>
      <w:r w:rsidR="001E341A">
        <w:rPr>
          <w:rFonts w:cs="Times New Roman"/>
          <w:sz w:val="24"/>
          <w:szCs w:val="24"/>
        </w:rPr>
        <w:t xml:space="preserve"> </w:t>
      </w:r>
      <w:r w:rsidR="00A23BC6">
        <w:rPr>
          <w:rFonts w:cs="Times New Roman"/>
          <w:sz w:val="24"/>
          <w:szCs w:val="24"/>
        </w:rPr>
        <w:t xml:space="preserve"> </w:t>
      </w:r>
      <w:r w:rsidR="001E341A">
        <w:rPr>
          <w:rFonts w:cs="Times New Roman"/>
          <w:sz w:val="24"/>
          <w:szCs w:val="24"/>
        </w:rPr>
        <w:t xml:space="preserve"> </w:t>
      </w:r>
    </w:p>
    <w:p w14:paraId="66CD66B7" w14:textId="77777777" w:rsidR="00132A04" w:rsidRDefault="00132A04" w:rsidP="00E87B78">
      <w:pPr>
        <w:contextualSpacing/>
        <w:rPr>
          <w:rFonts w:cs="Times New Roman"/>
          <w:sz w:val="24"/>
          <w:szCs w:val="24"/>
        </w:rPr>
      </w:pPr>
    </w:p>
    <w:p w14:paraId="70EA695F" w14:textId="34CFC8E3" w:rsidR="00132A04" w:rsidRDefault="0064045F" w:rsidP="00E87B78">
      <w:pPr>
        <w:contextualSpacing/>
        <w:rPr>
          <w:rFonts w:cs="Times New Roman"/>
          <w:sz w:val="24"/>
          <w:szCs w:val="24"/>
        </w:rPr>
      </w:pPr>
      <w:r>
        <w:rPr>
          <w:rFonts w:cs="Times New Roman"/>
          <w:sz w:val="24"/>
          <w:szCs w:val="24"/>
        </w:rPr>
        <w:t xml:space="preserve">The high </w:t>
      </w:r>
      <w:r w:rsidR="00952F59">
        <w:rPr>
          <w:rFonts w:cs="Times New Roman"/>
          <w:sz w:val="24"/>
          <w:szCs w:val="24"/>
        </w:rPr>
        <w:t xml:space="preserve">overall average achievement of primary school pupils </w:t>
      </w:r>
      <w:r w:rsidR="00D50478">
        <w:rPr>
          <w:rFonts w:cs="Times New Roman"/>
          <w:sz w:val="24"/>
          <w:szCs w:val="24"/>
        </w:rPr>
        <w:t>i</w:t>
      </w:r>
      <w:r w:rsidR="001E341A">
        <w:rPr>
          <w:rFonts w:cs="Times New Roman"/>
          <w:sz w:val="24"/>
          <w:szCs w:val="24"/>
        </w:rPr>
        <w:t xml:space="preserve">n the Inner </w:t>
      </w:r>
      <w:r w:rsidR="00513D91">
        <w:rPr>
          <w:rFonts w:cs="Times New Roman"/>
          <w:sz w:val="24"/>
          <w:szCs w:val="24"/>
        </w:rPr>
        <w:t xml:space="preserve">London </w:t>
      </w:r>
      <w:r w:rsidR="001E341A">
        <w:rPr>
          <w:rFonts w:cs="Times New Roman"/>
          <w:sz w:val="24"/>
          <w:szCs w:val="24"/>
        </w:rPr>
        <w:t xml:space="preserve">boroughs </w:t>
      </w:r>
      <w:r w:rsidR="00033F7C">
        <w:rPr>
          <w:rFonts w:cs="Times New Roman"/>
          <w:sz w:val="24"/>
          <w:szCs w:val="24"/>
        </w:rPr>
        <w:t xml:space="preserve">largely </w:t>
      </w:r>
      <w:r>
        <w:rPr>
          <w:rFonts w:cs="Times New Roman"/>
          <w:sz w:val="24"/>
          <w:szCs w:val="24"/>
        </w:rPr>
        <w:t xml:space="preserve">reflects the fact that their students from low-income families </w:t>
      </w:r>
      <w:r w:rsidR="001E341A">
        <w:rPr>
          <w:rFonts w:cs="Times New Roman"/>
          <w:sz w:val="24"/>
          <w:szCs w:val="24"/>
        </w:rPr>
        <w:t xml:space="preserve">– whether defined by eligibility for </w:t>
      </w:r>
      <w:r w:rsidR="00AF4038">
        <w:rPr>
          <w:rFonts w:cs="Times New Roman"/>
          <w:sz w:val="24"/>
          <w:szCs w:val="24"/>
        </w:rPr>
        <w:t>eligibility for free school meals (</w:t>
      </w:r>
      <w:r w:rsidR="001E341A">
        <w:rPr>
          <w:rFonts w:cs="Times New Roman"/>
          <w:sz w:val="24"/>
          <w:szCs w:val="24"/>
        </w:rPr>
        <w:t>FSM</w:t>
      </w:r>
      <w:r w:rsidR="00AF4038">
        <w:rPr>
          <w:rFonts w:cs="Times New Roman"/>
          <w:sz w:val="24"/>
          <w:szCs w:val="24"/>
        </w:rPr>
        <w:t>)</w:t>
      </w:r>
      <w:r w:rsidR="001E341A">
        <w:rPr>
          <w:rFonts w:cs="Times New Roman"/>
          <w:sz w:val="24"/>
          <w:szCs w:val="24"/>
        </w:rPr>
        <w:t xml:space="preserve"> or by the broader concept of disadvantage – far outperform their counterparts in the rest of the country</w:t>
      </w:r>
      <w:r w:rsidR="00576E89">
        <w:rPr>
          <w:rFonts w:cs="Times New Roman"/>
          <w:sz w:val="24"/>
          <w:szCs w:val="24"/>
        </w:rPr>
        <w:t xml:space="preserve"> (</w:t>
      </w:r>
      <w:r w:rsidR="00952F59">
        <w:rPr>
          <w:rFonts w:cs="Times New Roman"/>
          <w:sz w:val="24"/>
          <w:szCs w:val="24"/>
        </w:rPr>
        <w:t xml:space="preserve">Blanden et al, 2015). </w:t>
      </w:r>
      <w:r w:rsidR="00783453">
        <w:rPr>
          <w:rFonts w:cs="Times New Roman"/>
          <w:sz w:val="24"/>
          <w:szCs w:val="24"/>
        </w:rPr>
        <w:t xml:space="preserve">We show the patterns in 2013 </w:t>
      </w:r>
      <w:r w:rsidR="00133761">
        <w:rPr>
          <w:rFonts w:cs="Times New Roman"/>
          <w:sz w:val="24"/>
          <w:szCs w:val="24"/>
        </w:rPr>
        <w:t xml:space="preserve">by FSM status for </w:t>
      </w:r>
      <w:r w:rsidR="00783453">
        <w:rPr>
          <w:rFonts w:cs="Times New Roman"/>
          <w:sz w:val="24"/>
          <w:szCs w:val="24"/>
        </w:rPr>
        <w:t xml:space="preserve">Hackney and Tower Hamlets </w:t>
      </w:r>
      <w:r w:rsidR="00133761">
        <w:rPr>
          <w:rFonts w:cs="Times New Roman"/>
          <w:sz w:val="24"/>
          <w:szCs w:val="24"/>
        </w:rPr>
        <w:t xml:space="preserve">in </w:t>
      </w:r>
      <w:r w:rsidR="00AF4038">
        <w:rPr>
          <w:rFonts w:cs="Times New Roman"/>
          <w:sz w:val="24"/>
          <w:szCs w:val="24"/>
        </w:rPr>
        <w:t>T</w:t>
      </w:r>
      <w:r w:rsidR="00133761">
        <w:rPr>
          <w:rFonts w:cs="Times New Roman"/>
          <w:sz w:val="24"/>
          <w:szCs w:val="24"/>
        </w:rPr>
        <w:t xml:space="preserve">able </w:t>
      </w:r>
      <w:r w:rsidR="00D50478">
        <w:rPr>
          <w:rFonts w:cs="Times New Roman"/>
          <w:sz w:val="24"/>
          <w:szCs w:val="24"/>
        </w:rPr>
        <w:t>1</w:t>
      </w:r>
      <w:r w:rsidR="00133761">
        <w:rPr>
          <w:rFonts w:cs="Times New Roman"/>
          <w:sz w:val="24"/>
          <w:szCs w:val="24"/>
        </w:rPr>
        <w:t xml:space="preserve">, </w:t>
      </w:r>
      <w:r w:rsidR="00AF4038">
        <w:rPr>
          <w:rFonts w:cs="Times New Roman"/>
          <w:sz w:val="24"/>
          <w:szCs w:val="24"/>
        </w:rPr>
        <w:t xml:space="preserve">where </w:t>
      </w:r>
      <w:r w:rsidR="00783453">
        <w:rPr>
          <w:rFonts w:cs="Times New Roman"/>
          <w:sz w:val="24"/>
          <w:szCs w:val="24"/>
        </w:rPr>
        <w:t xml:space="preserve">meeting standards refers to </w:t>
      </w:r>
      <w:r w:rsidR="008068B5">
        <w:rPr>
          <w:rFonts w:cs="Times New Roman"/>
          <w:sz w:val="24"/>
          <w:szCs w:val="24"/>
        </w:rPr>
        <w:t xml:space="preserve">achieving a grade at </w:t>
      </w:r>
      <w:r w:rsidR="00783453">
        <w:rPr>
          <w:rFonts w:cs="Times New Roman"/>
          <w:sz w:val="24"/>
          <w:szCs w:val="24"/>
        </w:rPr>
        <w:t>level 4</w:t>
      </w:r>
      <w:r w:rsidR="008068B5">
        <w:rPr>
          <w:rFonts w:cs="Times New Roman"/>
          <w:sz w:val="24"/>
          <w:szCs w:val="24"/>
        </w:rPr>
        <w:t xml:space="preserve"> or above </w:t>
      </w:r>
      <w:r w:rsidR="00783453">
        <w:rPr>
          <w:rFonts w:cs="Times New Roman"/>
          <w:sz w:val="24"/>
          <w:szCs w:val="24"/>
        </w:rPr>
        <w:t xml:space="preserve">in reading, </w:t>
      </w:r>
      <w:r w:rsidR="008068B5">
        <w:rPr>
          <w:rFonts w:cs="Times New Roman"/>
          <w:sz w:val="24"/>
          <w:szCs w:val="24"/>
        </w:rPr>
        <w:t>writing and math.</w:t>
      </w:r>
      <w:r w:rsidR="00513698">
        <w:rPr>
          <w:rStyle w:val="FootnoteReference"/>
          <w:rFonts w:cs="Times New Roman"/>
          <w:sz w:val="24"/>
          <w:szCs w:val="24"/>
        </w:rPr>
        <w:footnoteReference w:id="8"/>
      </w:r>
      <w:r w:rsidR="000E170E">
        <w:rPr>
          <w:rFonts w:cs="Times New Roman"/>
          <w:sz w:val="24"/>
          <w:szCs w:val="24"/>
        </w:rPr>
        <w:t xml:space="preserve"> </w:t>
      </w:r>
      <w:r w:rsidR="008068B5">
        <w:rPr>
          <w:rFonts w:cs="Times New Roman"/>
          <w:sz w:val="24"/>
          <w:szCs w:val="24"/>
        </w:rPr>
        <w:t xml:space="preserve"> </w:t>
      </w:r>
      <w:r w:rsidR="00783453">
        <w:rPr>
          <w:rFonts w:cs="Times New Roman"/>
          <w:sz w:val="24"/>
          <w:szCs w:val="24"/>
        </w:rPr>
        <w:t xml:space="preserve">The </w:t>
      </w:r>
      <w:r w:rsidR="00133761">
        <w:rPr>
          <w:rFonts w:cs="Times New Roman"/>
          <w:sz w:val="24"/>
          <w:szCs w:val="24"/>
        </w:rPr>
        <w:lastRenderedPageBreak/>
        <w:t>t</w:t>
      </w:r>
      <w:r w:rsidR="00783453">
        <w:rPr>
          <w:rFonts w:cs="Times New Roman"/>
          <w:sz w:val="24"/>
          <w:szCs w:val="24"/>
        </w:rPr>
        <w:t xml:space="preserve">able shows that while FSM students in our two London boroughs </w:t>
      </w:r>
      <w:r w:rsidR="00133761">
        <w:rPr>
          <w:rFonts w:cs="Times New Roman"/>
          <w:sz w:val="24"/>
          <w:szCs w:val="24"/>
        </w:rPr>
        <w:t xml:space="preserve">continue to </w:t>
      </w:r>
      <w:r w:rsidR="00783453">
        <w:rPr>
          <w:rFonts w:cs="Times New Roman"/>
          <w:sz w:val="24"/>
          <w:szCs w:val="24"/>
        </w:rPr>
        <w:t xml:space="preserve">underperform </w:t>
      </w:r>
      <w:r w:rsidR="00133761">
        <w:rPr>
          <w:rFonts w:cs="Times New Roman"/>
          <w:sz w:val="24"/>
          <w:szCs w:val="24"/>
        </w:rPr>
        <w:t xml:space="preserve">relative to </w:t>
      </w:r>
      <w:r w:rsidR="00783453">
        <w:rPr>
          <w:rFonts w:cs="Times New Roman"/>
          <w:sz w:val="24"/>
          <w:szCs w:val="24"/>
        </w:rPr>
        <w:t>their more advantaged local counterparts, their a</w:t>
      </w:r>
      <w:r w:rsidR="00D0291D">
        <w:rPr>
          <w:rFonts w:cs="Times New Roman"/>
          <w:sz w:val="24"/>
          <w:szCs w:val="24"/>
        </w:rPr>
        <w:t xml:space="preserve">chievement levels </w:t>
      </w:r>
      <w:r w:rsidR="00783453">
        <w:rPr>
          <w:rFonts w:cs="Times New Roman"/>
          <w:sz w:val="24"/>
          <w:szCs w:val="24"/>
        </w:rPr>
        <w:t>far exceed</w:t>
      </w:r>
      <w:r w:rsidR="00D0291D">
        <w:rPr>
          <w:rFonts w:cs="Times New Roman"/>
          <w:sz w:val="24"/>
          <w:szCs w:val="24"/>
        </w:rPr>
        <w:t xml:space="preserve"> </w:t>
      </w:r>
      <w:r w:rsidR="00783453">
        <w:rPr>
          <w:rFonts w:cs="Times New Roman"/>
          <w:sz w:val="24"/>
          <w:szCs w:val="24"/>
        </w:rPr>
        <w:t>that of FSM students in the nation</w:t>
      </w:r>
      <w:r w:rsidR="000E170E">
        <w:rPr>
          <w:rFonts w:cs="Times New Roman"/>
          <w:sz w:val="24"/>
          <w:szCs w:val="24"/>
        </w:rPr>
        <w:t xml:space="preserve">. </w:t>
      </w:r>
      <w:r w:rsidR="00783453">
        <w:rPr>
          <w:rFonts w:cs="Times New Roman"/>
          <w:sz w:val="24"/>
          <w:szCs w:val="24"/>
        </w:rPr>
        <w:t xml:space="preserve">Moreover, the gap between </w:t>
      </w:r>
      <w:r w:rsidR="00133761">
        <w:rPr>
          <w:rFonts w:cs="Times New Roman"/>
          <w:sz w:val="24"/>
          <w:szCs w:val="24"/>
        </w:rPr>
        <w:t xml:space="preserve">the achievement of </w:t>
      </w:r>
      <w:r w:rsidR="000B5165">
        <w:rPr>
          <w:rFonts w:cs="Times New Roman"/>
          <w:sz w:val="24"/>
          <w:szCs w:val="24"/>
        </w:rPr>
        <w:t>non-</w:t>
      </w:r>
      <w:r w:rsidR="00783453">
        <w:rPr>
          <w:rFonts w:cs="Times New Roman"/>
          <w:sz w:val="24"/>
          <w:szCs w:val="24"/>
        </w:rPr>
        <w:t xml:space="preserve">FSM and FSM students in Hackney and Tower Hamlets is less than half that in the nation.   </w:t>
      </w:r>
    </w:p>
    <w:p w14:paraId="6BD95B1E" w14:textId="77777777" w:rsidR="00132A04" w:rsidRDefault="00132A04" w:rsidP="00E87B78">
      <w:pPr>
        <w:contextualSpacing/>
        <w:rPr>
          <w:rFonts w:cs="Times New Roman"/>
          <w:sz w:val="24"/>
          <w:szCs w:val="24"/>
        </w:rPr>
      </w:pPr>
    </w:p>
    <w:p w14:paraId="0C89869D" w14:textId="77777777" w:rsidR="00132A04" w:rsidRDefault="00132A04" w:rsidP="00E87B78">
      <w:pPr>
        <w:contextualSpacing/>
        <w:rPr>
          <w:rFonts w:cs="Times New Roman"/>
          <w:sz w:val="24"/>
          <w:szCs w:val="24"/>
        </w:rPr>
      </w:pPr>
      <w:r>
        <w:rPr>
          <w:rFonts w:cs="Times New Roman"/>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6A14FA" w14:paraId="2FA5D418" w14:textId="77777777" w:rsidTr="002902D6">
        <w:tc>
          <w:tcPr>
            <w:tcW w:w="9350" w:type="dxa"/>
            <w:gridSpan w:val="4"/>
          </w:tcPr>
          <w:p w14:paraId="12FDDA21" w14:textId="77777777" w:rsidR="006A14FA" w:rsidRDefault="006A14FA" w:rsidP="00D50478">
            <w:pPr>
              <w:contextualSpacing/>
              <w:rPr>
                <w:rFonts w:cs="Times New Roman"/>
                <w:sz w:val="24"/>
                <w:szCs w:val="24"/>
              </w:rPr>
            </w:pPr>
            <w:r>
              <w:rPr>
                <w:rFonts w:cs="Times New Roman"/>
                <w:sz w:val="24"/>
                <w:szCs w:val="24"/>
              </w:rPr>
              <w:t xml:space="preserve">Table </w:t>
            </w:r>
            <w:r w:rsidR="00D50478">
              <w:rPr>
                <w:rFonts w:cs="Times New Roman"/>
                <w:sz w:val="24"/>
                <w:szCs w:val="24"/>
              </w:rPr>
              <w:t>1</w:t>
            </w:r>
            <w:r>
              <w:rPr>
                <w:rFonts w:cs="Times New Roman"/>
                <w:sz w:val="24"/>
                <w:szCs w:val="24"/>
              </w:rPr>
              <w:t xml:space="preserve">. Performance by free school meals (FSM) status, 2013. </w:t>
            </w:r>
          </w:p>
        </w:tc>
      </w:tr>
      <w:tr w:rsidR="006A14FA" w14:paraId="34080F89" w14:textId="77777777" w:rsidTr="00132A04">
        <w:tc>
          <w:tcPr>
            <w:tcW w:w="2337" w:type="dxa"/>
          </w:tcPr>
          <w:p w14:paraId="07C667BA" w14:textId="77777777" w:rsidR="006A14FA" w:rsidRDefault="006A14FA" w:rsidP="006A14FA">
            <w:pPr>
              <w:contextualSpacing/>
              <w:rPr>
                <w:rFonts w:cs="Times New Roman"/>
                <w:sz w:val="24"/>
                <w:szCs w:val="24"/>
              </w:rPr>
            </w:pPr>
          </w:p>
        </w:tc>
        <w:tc>
          <w:tcPr>
            <w:tcW w:w="2337" w:type="dxa"/>
          </w:tcPr>
          <w:p w14:paraId="6185F73A" w14:textId="77777777" w:rsidR="006A14FA" w:rsidRDefault="006A14FA" w:rsidP="006A14FA">
            <w:pPr>
              <w:contextualSpacing/>
              <w:rPr>
                <w:rFonts w:cs="Times New Roman"/>
                <w:sz w:val="24"/>
                <w:szCs w:val="24"/>
              </w:rPr>
            </w:pPr>
            <w:r>
              <w:rPr>
                <w:rFonts w:cs="Times New Roman"/>
                <w:sz w:val="24"/>
                <w:szCs w:val="24"/>
              </w:rPr>
              <w:t>Hackney</w:t>
            </w:r>
          </w:p>
        </w:tc>
        <w:tc>
          <w:tcPr>
            <w:tcW w:w="2338" w:type="dxa"/>
          </w:tcPr>
          <w:p w14:paraId="6B6A4FCC" w14:textId="77777777" w:rsidR="006A14FA" w:rsidRDefault="006A14FA" w:rsidP="006A14FA">
            <w:pPr>
              <w:contextualSpacing/>
              <w:rPr>
                <w:rFonts w:cs="Times New Roman"/>
                <w:sz w:val="24"/>
                <w:szCs w:val="24"/>
              </w:rPr>
            </w:pPr>
            <w:r>
              <w:rPr>
                <w:rFonts w:cs="Times New Roman"/>
                <w:sz w:val="24"/>
                <w:szCs w:val="24"/>
              </w:rPr>
              <w:t>Tower Hamlets</w:t>
            </w:r>
          </w:p>
        </w:tc>
        <w:tc>
          <w:tcPr>
            <w:tcW w:w="2338" w:type="dxa"/>
          </w:tcPr>
          <w:p w14:paraId="68843C3E" w14:textId="77777777" w:rsidR="006A14FA" w:rsidRDefault="006A14FA" w:rsidP="006A14FA">
            <w:pPr>
              <w:contextualSpacing/>
              <w:rPr>
                <w:rFonts w:cs="Times New Roman"/>
                <w:sz w:val="24"/>
                <w:szCs w:val="24"/>
              </w:rPr>
            </w:pPr>
            <w:r>
              <w:rPr>
                <w:rFonts w:cs="Times New Roman"/>
                <w:sz w:val="24"/>
                <w:szCs w:val="24"/>
              </w:rPr>
              <w:t>Nation</w:t>
            </w:r>
          </w:p>
        </w:tc>
      </w:tr>
      <w:tr w:rsidR="006A14FA" w14:paraId="7F9C802E" w14:textId="77777777" w:rsidTr="00132A04">
        <w:tc>
          <w:tcPr>
            <w:tcW w:w="2337" w:type="dxa"/>
          </w:tcPr>
          <w:p w14:paraId="3448BBA9" w14:textId="77777777" w:rsidR="006A14FA" w:rsidRDefault="006A14FA" w:rsidP="006A14FA">
            <w:pPr>
              <w:contextualSpacing/>
              <w:rPr>
                <w:rFonts w:cs="Times New Roman"/>
                <w:sz w:val="24"/>
                <w:szCs w:val="24"/>
              </w:rPr>
            </w:pPr>
            <w:r>
              <w:rPr>
                <w:rFonts w:cs="Times New Roman"/>
                <w:sz w:val="24"/>
                <w:szCs w:val="24"/>
              </w:rPr>
              <w:t xml:space="preserve">% FSM primary school pupils </w:t>
            </w:r>
          </w:p>
        </w:tc>
        <w:tc>
          <w:tcPr>
            <w:tcW w:w="2337" w:type="dxa"/>
          </w:tcPr>
          <w:p w14:paraId="65540168" w14:textId="77777777" w:rsidR="006A14FA" w:rsidRDefault="006A14FA" w:rsidP="006A14FA">
            <w:pPr>
              <w:contextualSpacing/>
              <w:rPr>
                <w:rFonts w:cs="Times New Roman"/>
                <w:sz w:val="24"/>
                <w:szCs w:val="24"/>
              </w:rPr>
            </w:pPr>
            <w:r>
              <w:rPr>
                <w:rFonts w:cs="Times New Roman"/>
                <w:sz w:val="24"/>
                <w:szCs w:val="24"/>
              </w:rPr>
              <w:t xml:space="preserve">40 </w:t>
            </w:r>
          </w:p>
        </w:tc>
        <w:tc>
          <w:tcPr>
            <w:tcW w:w="2338" w:type="dxa"/>
          </w:tcPr>
          <w:p w14:paraId="62C6E9C4" w14:textId="77777777" w:rsidR="006A14FA" w:rsidRDefault="006A14FA" w:rsidP="006A14FA">
            <w:pPr>
              <w:contextualSpacing/>
              <w:rPr>
                <w:rFonts w:cs="Times New Roman"/>
                <w:sz w:val="24"/>
                <w:szCs w:val="24"/>
              </w:rPr>
            </w:pPr>
            <w:r>
              <w:rPr>
                <w:rFonts w:cs="Times New Roman"/>
                <w:sz w:val="24"/>
                <w:szCs w:val="24"/>
              </w:rPr>
              <w:t>48</w:t>
            </w:r>
          </w:p>
        </w:tc>
        <w:tc>
          <w:tcPr>
            <w:tcW w:w="2338" w:type="dxa"/>
          </w:tcPr>
          <w:p w14:paraId="0402EF21" w14:textId="77777777" w:rsidR="006A14FA" w:rsidRDefault="006A14FA" w:rsidP="006A14FA">
            <w:pPr>
              <w:contextualSpacing/>
              <w:rPr>
                <w:rFonts w:cs="Times New Roman"/>
                <w:sz w:val="24"/>
                <w:szCs w:val="24"/>
              </w:rPr>
            </w:pPr>
            <w:r>
              <w:rPr>
                <w:rFonts w:cs="Times New Roman"/>
                <w:sz w:val="24"/>
                <w:szCs w:val="24"/>
              </w:rPr>
              <w:t>18</w:t>
            </w:r>
          </w:p>
        </w:tc>
      </w:tr>
      <w:tr w:rsidR="006A14FA" w14:paraId="26021ABE" w14:textId="77777777" w:rsidTr="00132A04">
        <w:tc>
          <w:tcPr>
            <w:tcW w:w="2337" w:type="dxa"/>
          </w:tcPr>
          <w:p w14:paraId="31EE5195" w14:textId="77777777" w:rsidR="006A14FA" w:rsidRDefault="006A14FA" w:rsidP="006A14FA">
            <w:pPr>
              <w:contextualSpacing/>
              <w:rPr>
                <w:rFonts w:cs="Times New Roman"/>
                <w:sz w:val="24"/>
                <w:szCs w:val="24"/>
              </w:rPr>
            </w:pPr>
            <w:r>
              <w:rPr>
                <w:rFonts w:cs="Times New Roman"/>
                <w:sz w:val="24"/>
                <w:szCs w:val="24"/>
              </w:rPr>
              <w:t xml:space="preserve">% of FSM pupils meeting standard </w:t>
            </w:r>
          </w:p>
        </w:tc>
        <w:tc>
          <w:tcPr>
            <w:tcW w:w="2337" w:type="dxa"/>
          </w:tcPr>
          <w:p w14:paraId="1EBC981F" w14:textId="77777777" w:rsidR="006A14FA" w:rsidRDefault="006A14FA" w:rsidP="006A14FA">
            <w:pPr>
              <w:contextualSpacing/>
              <w:rPr>
                <w:rFonts w:cs="Times New Roman"/>
                <w:sz w:val="24"/>
                <w:szCs w:val="24"/>
              </w:rPr>
            </w:pPr>
            <w:r>
              <w:rPr>
                <w:rFonts w:cs="Times New Roman"/>
                <w:sz w:val="24"/>
                <w:szCs w:val="24"/>
              </w:rPr>
              <w:t>76</w:t>
            </w:r>
          </w:p>
        </w:tc>
        <w:tc>
          <w:tcPr>
            <w:tcW w:w="2338" w:type="dxa"/>
          </w:tcPr>
          <w:p w14:paraId="4424B2AE" w14:textId="77777777" w:rsidR="006A14FA" w:rsidRDefault="006A14FA" w:rsidP="006A14FA">
            <w:pPr>
              <w:contextualSpacing/>
              <w:rPr>
                <w:rFonts w:cs="Times New Roman"/>
                <w:sz w:val="24"/>
                <w:szCs w:val="24"/>
              </w:rPr>
            </w:pPr>
            <w:r>
              <w:rPr>
                <w:rFonts w:cs="Times New Roman"/>
                <w:sz w:val="24"/>
                <w:szCs w:val="24"/>
              </w:rPr>
              <w:t>74</w:t>
            </w:r>
          </w:p>
        </w:tc>
        <w:tc>
          <w:tcPr>
            <w:tcW w:w="2338" w:type="dxa"/>
          </w:tcPr>
          <w:p w14:paraId="4EE799BF" w14:textId="77777777" w:rsidR="006A14FA" w:rsidRDefault="006A14FA" w:rsidP="006A14FA">
            <w:pPr>
              <w:contextualSpacing/>
              <w:rPr>
                <w:rFonts w:cs="Times New Roman"/>
                <w:sz w:val="24"/>
                <w:szCs w:val="24"/>
              </w:rPr>
            </w:pPr>
            <w:r>
              <w:rPr>
                <w:rFonts w:cs="Times New Roman"/>
                <w:sz w:val="24"/>
                <w:szCs w:val="24"/>
              </w:rPr>
              <w:t xml:space="preserve">60 </w:t>
            </w:r>
          </w:p>
        </w:tc>
      </w:tr>
      <w:tr w:rsidR="006A14FA" w14:paraId="2FD75E14" w14:textId="77777777" w:rsidTr="00132A04">
        <w:tc>
          <w:tcPr>
            <w:tcW w:w="2337" w:type="dxa"/>
          </w:tcPr>
          <w:p w14:paraId="39C8A325" w14:textId="77777777" w:rsidR="006A14FA" w:rsidRDefault="006A14FA" w:rsidP="006A14FA">
            <w:pPr>
              <w:contextualSpacing/>
              <w:rPr>
                <w:rFonts w:cs="Times New Roman"/>
                <w:sz w:val="24"/>
                <w:szCs w:val="24"/>
              </w:rPr>
            </w:pPr>
            <w:r>
              <w:rPr>
                <w:rFonts w:cs="Times New Roman"/>
                <w:sz w:val="24"/>
                <w:szCs w:val="24"/>
              </w:rPr>
              <w:t xml:space="preserve">% of other pupils meeting standard  </w:t>
            </w:r>
          </w:p>
        </w:tc>
        <w:tc>
          <w:tcPr>
            <w:tcW w:w="2337" w:type="dxa"/>
          </w:tcPr>
          <w:p w14:paraId="61279E27" w14:textId="77777777" w:rsidR="006A14FA" w:rsidRDefault="006A14FA" w:rsidP="006A14FA">
            <w:pPr>
              <w:contextualSpacing/>
              <w:rPr>
                <w:rFonts w:cs="Times New Roman"/>
                <w:sz w:val="24"/>
                <w:szCs w:val="24"/>
              </w:rPr>
            </w:pPr>
            <w:r>
              <w:rPr>
                <w:rFonts w:cs="Times New Roman"/>
                <w:sz w:val="24"/>
                <w:szCs w:val="24"/>
              </w:rPr>
              <w:t>84</w:t>
            </w:r>
          </w:p>
        </w:tc>
        <w:tc>
          <w:tcPr>
            <w:tcW w:w="2338" w:type="dxa"/>
          </w:tcPr>
          <w:p w14:paraId="47EB2498" w14:textId="77777777" w:rsidR="006A14FA" w:rsidRDefault="006A14FA" w:rsidP="006A14FA">
            <w:pPr>
              <w:contextualSpacing/>
              <w:rPr>
                <w:rFonts w:cs="Times New Roman"/>
                <w:sz w:val="24"/>
                <w:szCs w:val="24"/>
              </w:rPr>
            </w:pPr>
            <w:r>
              <w:rPr>
                <w:rFonts w:cs="Times New Roman"/>
                <w:sz w:val="24"/>
                <w:szCs w:val="24"/>
              </w:rPr>
              <w:t xml:space="preserve">83 </w:t>
            </w:r>
          </w:p>
        </w:tc>
        <w:tc>
          <w:tcPr>
            <w:tcW w:w="2338" w:type="dxa"/>
          </w:tcPr>
          <w:p w14:paraId="22E7C0AC" w14:textId="77777777" w:rsidR="006A14FA" w:rsidRDefault="006A14FA" w:rsidP="006A14FA">
            <w:pPr>
              <w:contextualSpacing/>
              <w:rPr>
                <w:rFonts w:cs="Times New Roman"/>
                <w:sz w:val="24"/>
                <w:szCs w:val="24"/>
              </w:rPr>
            </w:pPr>
            <w:r>
              <w:rPr>
                <w:rFonts w:cs="Times New Roman"/>
                <w:sz w:val="24"/>
                <w:szCs w:val="24"/>
              </w:rPr>
              <w:t xml:space="preserve">79 </w:t>
            </w:r>
          </w:p>
        </w:tc>
      </w:tr>
      <w:tr w:rsidR="006A14FA" w14:paraId="5034887D" w14:textId="77777777" w:rsidTr="00132A04">
        <w:tc>
          <w:tcPr>
            <w:tcW w:w="2337" w:type="dxa"/>
          </w:tcPr>
          <w:p w14:paraId="7440E5B3" w14:textId="77777777" w:rsidR="006A14FA" w:rsidRDefault="006A14FA" w:rsidP="006A14FA">
            <w:pPr>
              <w:contextualSpacing/>
              <w:rPr>
                <w:rFonts w:cs="Times New Roman"/>
                <w:sz w:val="24"/>
                <w:szCs w:val="24"/>
              </w:rPr>
            </w:pPr>
            <w:r>
              <w:rPr>
                <w:rFonts w:cs="Times New Roman"/>
                <w:sz w:val="24"/>
                <w:szCs w:val="24"/>
              </w:rPr>
              <w:t xml:space="preserve">Gap (other –FSM) </w:t>
            </w:r>
          </w:p>
        </w:tc>
        <w:tc>
          <w:tcPr>
            <w:tcW w:w="2337" w:type="dxa"/>
          </w:tcPr>
          <w:p w14:paraId="78B90C52" w14:textId="77777777" w:rsidR="006A14FA" w:rsidRDefault="006A14FA" w:rsidP="006A14FA">
            <w:pPr>
              <w:contextualSpacing/>
              <w:rPr>
                <w:rFonts w:cs="Times New Roman"/>
                <w:sz w:val="24"/>
                <w:szCs w:val="24"/>
              </w:rPr>
            </w:pPr>
            <w:r>
              <w:rPr>
                <w:rFonts w:cs="Times New Roman"/>
                <w:sz w:val="24"/>
                <w:szCs w:val="24"/>
              </w:rPr>
              <w:t xml:space="preserve">+8 </w:t>
            </w:r>
          </w:p>
        </w:tc>
        <w:tc>
          <w:tcPr>
            <w:tcW w:w="2338" w:type="dxa"/>
          </w:tcPr>
          <w:p w14:paraId="6E1A8F36" w14:textId="77777777" w:rsidR="006A14FA" w:rsidRDefault="006A14FA" w:rsidP="006A14FA">
            <w:pPr>
              <w:contextualSpacing/>
              <w:rPr>
                <w:rFonts w:cs="Times New Roman"/>
                <w:sz w:val="24"/>
                <w:szCs w:val="24"/>
              </w:rPr>
            </w:pPr>
            <w:r>
              <w:rPr>
                <w:rFonts w:cs="Times New Roman"/>
                <w:sz w:val="24"/>
                <w:szCs w:val="24"/>
              </w:rPr>
              <w:t>+9</w:t>
            </w:r>
          </w:p>
        </w:tc>
        <w:tc>
          <w:tcPr>
            <w:tcW w:w="2338" w:type="dxa"/>
          </w:tcPr>
          <w:p w14:paraId="0BF4FA57" w14:textId="77777777" w:rsidR="006A14FA" w:rsidRDefault="006A14FA" w:rsidP="006A14FA">
            <w:pPr>
              <w:contextualSpacing/>
              <w:rPr>
                <w:rFonts w:cs="Times New Roman"/>
                <w:sz w:val="24"/>
                <w:szCs w:val="24"/>
              </w:rPr>
            </w:pPr>
            <w:r>
              <w:rPr>
                <w:rFonts w:cs="Times New Roman"/>
                <w:sz w:val="24"/>
                <w:szCs w:val="24"/>
              </w:rPr>
              <w:t>+19</w:t>
            </w:r>
          </w:p>
        </w:tc>
      </w:tr>
      <w:tr w:rsidR="006A14FA" w14:paraId="5EA4895F" w14:textId="77777777" w:rsidTr="002902D6">
        <w:tc>
          <w:tcPr>
            <w:tcW w:w="9350" w:type="dxa"/>
            <w:gridSpan w:val="4"/>
          </w:tcPr>
          <w:p w14:paraId="0A64F5AF" w14:textId="77777777" w:rsidR="006A14FA" w:rsidRDefault="006A14FA" w:rsidP="006A14FA">
            <w:pPr>
              <w:contextualSpacing/>
              <w:rPr>
                <w:rFonts w:cs="Times New Roman"/>
                <w:sz w:val="24"/>
                <w:szCs w:val="24"/>
              </w:rPr>
            </w:pPr>
            <w:r>
              <w:rPr>
                <w:rFonts w:cs="Times New Roman"/>
                <w:sz w:val="24"/>
                <w:szCs w:val="24"/>
              </w:rPr>
              <w:t>Source. National curriculum assessments at key stage 2, 2014 (revised)</w:t>
            </w:r>
            <w:r w:rsidR="00EC0224">
              <w:rPr>
                <w:rFonts w:cs="Times New Roman"/>
                <w:sz w:val="24"/>
                <w:szCs w:val="24"/>
              </w:rPr>
              <w:t>,</w:t>
            </w:r>
            <w:r>
              <w:rPr>
                <w:rFonts w:cs="Times New Roman"/>
                <w:sz w:val="24"/>
                <w:szCs w:val="24"/>
              </w:rPr>
              <w:t xml:space="preserve"> Department for Education. </w:t>
            </w:r>
          </w:p>
          <w:p w14:paraId="5E31FEFB" w14:textId="77777777" w:rsidR="006A14FA" w:rsidRDefault="00000000" w:rsidP="006A14FA">
            <w:pPr>
              <w:spacing w:after="0" w:line="240" w:lineRule="auto"/>
              <w:rPr>
                <w:rFonts w:ascii="Arial" w:eastAsia="Times New Roman" w:hAnsi="Arial" w:cs="Arial"/>
                <w:color w:val="0563C1"/>
                <w:sz w:val="20"/>
                <w:szCs w:val="20"/>
                <w:u w:val="single"/>
              </w:rPr>
            </w:pPr>
            <w:hyperlink r:id="rId11" w:history="1">
              <w:r w:rsidR="006A14FA">
                <w:rPr>
                  <w:rStyle w:val="Hyperlink"/>
                  <w:rFonts w:ascii="Arial" w:hAnsi="Arial" w:cs="Arial"/>
                  <w:sz w:val="20"/>
                  <w:szCs w:val="20"/>
                </w:rPr>
                <w:t>https://www.gov.uk/government/statistics/national-curriculum-assessments-at-key-stage-2-2014-revised</w:t>
              </w:r>
            </w:hyperlink>
          </w:p>
          <w:p w14:paraId="3F0FDD2B" w14:textId="77777777" w:rsidR="006A14FA" w:rsidRDefault="006A14FA" w:rsidP="006A14FA">
            <w:pPr>
              <w:contextualSpacing/>
              <w:rPr>
                <w:rFonts w:cs="Times New Roman"/>
                <w:sz w:val="24"/>
                <w:szCs w:val="24"/>
              </w:rPr>
            </w:pPr>
          </w:p>
        </w:tc>
      </w:tr>
    </w:tbl>
    <w:tbl>
      <w:tblPr>
        <w:tblW w:w="12000" w:type="dxa"/>
        <w:tblLook w:val="04A0" w:firstRow="1" w:lastRow="0" w:firstColumn="1" w:lastColumn="0" w:noHBand="0" w:noVBand="1"/>
      </w:tblPr>
      <w:tblGrid>
        <w:gridCol w:w="5320"/>
        <w:gridCol w:w="2100"/>
        <w:gridCol w:w="2080"/>
        <w:gridCol w:w="2500"/>
      </w:tblGrid>
      <w:tr w:rsidR="00132A04" w:rsidRPr="00132A04" w14:paraId="5BD56018" w14:textId="77777777" w:rsidTr="00E95F79">
        <w:trPr>
          <w:trHeight w:val="488"/>
        </w:trPr>
        <w:tc>
          <w:tcPr>
            <w:tcW w:w="5320" w:type="dxa"/>
            <w:tcBorders>
              <w:top w:val="nil"/>
              <w:left w:val="nil"/>
              <w:bottom w:val="nil"/>
              <w:right w:val="nil"/>
            </w:tcBorders>
            <w:shd w:val="clear" w:color="auto" w:fill="auto"/>
            <w:noWrap/>
            <w:vAlign w:val="bottom"/>
          </w:tcPr>
          <w:p w14:paraId="6936D7AD" w14:textId="77777777" w:rsidR="00132A04" w:rsidRPr="00132A04" w:rsidRDefault="00132A04" w:rsidP="008D3C8A">
            <w:pPr>
              <w:spacing w:after="0" w:line="240" w:lineRule="auto"/>
              <w:rPr>
                <w:rFonts w:ascii="Arial" w:eastAsia="Times New Roman" w:hAnsi="Arial" w:cs="Arial"/>
                <w:b/>
                <w:bCs/>
                <w:color w:val="000000"/>
                <w:sz w:val="20"/>
                <w:szCs w:val="20"/>
              </w:rPr>
            </w:pPr>
          </w:p>
        </w:tc>
        <w:tc>
          <w:tcPr>
            <w:tcW w:w="2100" w:type="dxa"/>
            <w:tcBorders>
              <w:top w:val="nil"/>
              <w:left w:val="nil"/>
              <w:bottom w:val="nil"/>
              <w:right w:val="nil"/>
            </w:tcBorders>
            <w:shd w:val="clear" w:color="auto" w:fill="auto"/>
            <w:noWrap/>
            <w:vAlign w:val="bottom"/>
          </w:tcPr>
          <w:p w14:paraId="77FD03B3" w14:textId="77777777" w:rsidR="00132A04" w:rsidRPr="00132A04" w:rsidRDefault="00132A04" w:rsidP="00132A04">
            <w:pPr>
              <w:spacing w:after="0" w:line="240" w:lineRule="auto"/>
              <w:rPr>
                <w:rFonts w:ascii="Arial" w:eastAsia="Times New Roman" w:hAnsi="Arial" w:cs="Arial"/>
                <w:b/>
                <w:bCs/>
                <w:color w:val="000000"/>
                <w:sz w:val="20"/>
                <w:szCs w:val="20"/>
              </w:rPr>
            </w:pPr>
          </w:p>
        </w:tc>
        <w:tc>
          <w:tcPr>
            <w:tcW w:w="2080" w:type="dxa"/>
            <w:tcBorders>
              <w:top w:val="nil"/>
              <w:left w:val="nil"/>
              <w:bottom w:val="nil"/>
              <w:right w:val="nil"/>
            </w:tcBorders>
            <w:shd w:val="clear" w:color="auto" w:fill="auto"/>
            <w:noWrap/>
            <w:vAlign w:val="bottom"/>
          </w:tcPr>
          <w:p w14:paraId="4083F3E5" w14:textId="77777777" w:rsidR="00132A04" w:rsidRPr="00132A04" w:rsidRDefault="00132A04" w:rsidP="00132A04">
            <w:pPr>
              <w:spacing w:after="0" w:line="240" w:lineRule="auto"/>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noWrap/>
            <w:vAlign w:val="bottom"/>
          </w:tcPr>
          <w:p w14:paraId="21307A6D" w14:textId="77777777" w:rsidR="00132A04" w:rsidRPr="00132A04" w:rsidRDefault="00132A04" w:rsidP="00132A04">
            <w:pPr>
              <w:spacing w:after="0" w:line="240" w:lineRule="auto"/>
              <w:rPr>
                <w:rFonts w:ascii="Times New Roman" w:eastAsia="Times New Roman" w:hAnsi="Times New Roman" w:cs="Times New Roman"/>
                <w:sz w:val="20"/>
                <w:szCs w:val="20"/>
              </w:rPr>
            </w:pPr>
          </w:p>
        </w:tc>
      </w:tr>
    </w:tbl>
    <w:p w14:paraId="23D450E9" w14:textId="77777777" w:rsidR="00E0643C" w:rsidRDefault="00E0643C" w:rsidP="00E0643C">
      <w:pPr>
        <w:contextualSpacing/>
        <w:rPr>
          <w:rFonts w:cs="Times New Roman"/>
          <w:sz w:val="24"/>
          <w:szCs w:val="24"/>
        </w:rPr>
      </w:pPr>
    </w:p>
    <w:p w14:paraId="2330CC78" w14:textId="4E68A445" w:rsidR="00F925A2" w:rsidRDefault="004270EB" w:rsidP="00E0643C">
      <w:pPr>
        <w:contextualSpacing/>
        <w:rPr>
          <w:rFonts w:cs="Times New Roman"/>
          <w:sz w:val="24"/>
          <w:szCs w:val="24"/>
        </w:rPr>
      </w:pPr>
      <w:r w:rsidRPr="00DF5403">
        <w:rPr>
          <w:rFonts w:cs="Times New Roman"/>
          <w:b/>
          <w:i/>
          <w:sz w:val="24"/>
          <w:szCs w:val="24"/>
        </w:rPr>
        <w:t>Summary observation.</w:t>
      </w:r>
      <w:r w:rsidR="00DF5403">
        <w:rPr>
          <w:rFonts w:cs="Times New Roman"/>
          <w:sz w:val="24"/>
          <w:szCs w:val="24"/>
        </w:rPr>
        <w:t xml:space="preserve">  </w:t>
      </w:r>
      <w:r w:rsidR="0029781D">
        <w:rPr>
          <w:rFonts w:cs="Times New Roman"/>
          <w:sz w:val="24"/>
          <w:szCs w:val="24"/>
        </w:rPr>
        <w:t xml:space="preserve">Other researchers have documented that </w:t>
      </w:r>
      <w:r w:rsidR="0013735A">
        <w:rPr>
          <w:rFonts w:cs="Times New Roman"/>
          <w:sz w:val="24"/>
          <w:szCs w:val="24"/>
        </w:rPr>
        <w:t xml:space="preserve">the </w:t>
      </w:r>
      <w:r w:rsidR="00F925A2">
        <w:rPr>
          <w:rFonts w:cs="Times New Roman"/>
          <w:sz w:val="24"/>
          <w:szCs w:val="24"/>
        </w:rPr>
        <w:t xml:space="preserve">London Effect  </w:t>
      </w:r>
      <w:r w:rsidR="009E2EB4">
        <w:rPr>
          <w:rFonts w:cs="Times New Roman"/>
          <w:sz w:val="24"/>
          <w:szCs w:val="24"/>
        </w:rPr>
        <w:t>emerges  not only</w:t>
      </w:r>
      <w:r w:rsidR="0029781D">
        <w:rPr>
          <w:rFonts w:cs="Times New Roman"/>
          <w:sz w:val="24"/>
          <w:szCs w:val="24"/>
        </w:rPr>
        <w:t xml:space="preserve"> for students at  the secondary level but also, importantly, </w:t>
      </w:r>
      <w:r w:rsidR="00DF5403">
        <w:rPr>
          <w:rFonts w:cs="Times New Roman"/>
          <w:sz w:val="24"/>
          <w:szCs w:val="24"/>
        </w:rPr>
        <w:t xml:space="preserve">for pupils at the primary level, </w:t>
      </w:r>
      <w:r w:rsidR="0029781D">
        <w:rPr>
          <w:rFonts w:cs="Times New Roman"/>
          <w:sz w:val="24"/>
          <w:szCs w:val="24"/>
        </w:rPr>
        <w:t>who then continue on to achieve at relatively high levels at the secondary level</w:t>
      </w:r>
      <w:r w:rsidR="0013735A">
        <w:rPr>
          <w:rFonts w:cs="Times New Roman"/>
          <w:sz w:val="24"/>
          <w:szCs w:val="24"/>
        </w:rPr>
        <w:t xml:space="preserve"> (</w:t>
      </w:r>
      <w:r w:rsidR="00EC0224">
        <w:rPr>
          <w:rFonts w:cs="Times New Roman"/>
          <w:sz w:val="24"/>
          <w:szCs w:val="24"/>
        </w:rPr>
        <w:t>Greaves et al, 2014, and</w:t>
      </w:r>
      <w:r w:rsidR="00513698">
        <w:rPr>
          <w:rFonts w:cs="Times New Roman"/>
          <w:sz w:val="24"/>
          <w:szCs w:val="24"/>
        </w:rPr>
        <w:t xml:space="preserve"> Blanden et al, 2015</w:t>
      </w:r>
      <w:r w:rsidR="009E2EB4">
        <w:rPr>
          <w:rFonts w:cs="Times New Roman"/>
          <w:sz w:val="24"/>
          <w:szCs w:val="24"/>
        </w:rPr>
        <w:t xml:space="preserve">). </w:t>
      </w:r>
      <w:r w:rsidR="00EC0224">
        <w:rPr>
          <w:rFonts w:cs="Times New Roman"/>
          <w:sz w:val="24"/>
          <w:szCs w:val="24"/>
        </w:rPr>
        <w:t xml:space="preserve">Thus, gains at the primary level are the precursor to gains the secondary level. </w:t>
      </w:r>
      <w:r w:rsidR="0013735A">
        <w:rPr>
          <w:rFonts w:cs="Times New Roman"/>
          <w:sz w:val="24"/>
          <w:szCs w:val="24"/>
        </w:rPr>
        <w:t xml:space="preserve">The </w:t>
      </w:r>
      <w:r w:rsidR="0029781D">
        <w:rPr>
          <w:rFonts w:cs="Times New Roman"/>
          <w:sz w:val="24"/>
          <w:szCs w:val="24"/>
        </w:rPr>
        <w:t xml:space="preserve">data on Key Stage 2 results </w:t>
      </w:r>
      <w:r w:rsidR="0013735A">
        <w:rPr>
          <w:rFonts w:cs="Times New Roman"/>
          <w:sz w:val="24"/>
          <w:szCs w:val="24"/>
        </w:rPr>
        <w:t xml:space="preserve">for our two illustrative boroughs of Hackney and Tower Hamlets </w:t>
      </w:r>
      <w:r w:rsidR="0029781D">
        <w:rPr>
          <w:rFonts w:cs="Times New Roman"/>
          <w:sz w:val="24"/>
          <w:szCs w:val="24"/>
        </w:rPr>
        <w:t xml:space="preserve">confirm </w:t>
      </w:r>
      <w:r w:rsidR="0013735A">
        <w:rPr>
          <w:rFonts w:cs="Times New Roman"/>
          <w:sz w:val="24"/>
          <w:szCs w:val="24"/>
        </w:rPr>
        <w:t xml:space="preserve">that </w:t>
      </w:r>
      <w:r w:rsidR="0029781D">
        <w:rPr>
          <w:rFonts w:cs="Times New Roman"/>
          <w:sz w:val="24"/>
          <w:szCs w:val="24"/>
        </w:rPr>
        <w:t xml:space="preserve">both boroughs have experienced impressive turnarounds </w:t>
      </w:r>
      <w:r w:rsidR="00EC0224">
        <w:rPr>
          <w:rFonts w:cs="Times New Roman"/>
          <w:sz w:val="24"/>
          <w:szCs w:val="24"/>
        </w:rPr>
        <w:t xml:space="preserve">for their primary school pupils </w:t>
      </w:r>
      <w:r w:rsidR="0029781D">
        <w:rPr>
          <w:rFonts w:cs="Times New Roman"/>
          <w:sz w:val="24"/>
          <w:szCs w:val="24"/>
        </w:rPr>
        <w:t>from their extremely poor performance in the mid</w:t>
      </w:r>
      <w:r w:rsidR="0013735A">
        <w:rPr>
          <w:rFonts w:cs="Times New Roman"/>
          <w:sz w:val="24"/>
          <w:szCs w:val="24"/>
        </w:rPr>
        <w:t>-</w:t>
      </w:r>
      <w:r w:rsidR="0029781D">
        <w:rPr>
          <w:rFonts w:cs="Times New Roman"/>
          <w:sz w:val="24"/>
          <w:szCs w:val="24"/>
        </w:rPr>
        <w:t xml:space="preserve">1990s. </w:t>
      </w:r>
      <w:r w:rsidR="0013735A">
        <w:rPr>
          <w:rFonts w:cs="Times New Roman"/>
          <w:sz w:val="24"/>
          <w:szCs w:val="24"/>
        </w:rPr>
        <w:t xml:space="preserve">In the following sections we turn to possible explanations, paying careful attention to the different timing of the turnarounds in the two boroughs.  </w:t>
      </w:r>
    </w:p>
    <w:p w14:paraId="2220D88F" w14:textId="77777777" w:rsidR="00F925A2" w:rsidRDefault="00F925A2" w:rsidP="00E0643C">
      <w:pPr>
        <w:contextualSpacing/>
        <w:rPr>
          <w:rFonts w:cs="Times New Roman"/>
          <w:sz w:val="24"/>
          <w:szCs w:val="24"/>
        </w:rPr>
      </w:pPr>
    </w:p>
    <w:p w14:paraId="6120ABEE" w14:textId="77777777" w:rsidR="00E0643C" w:rsidRPr="0093603C" w:rsidRDefault="00576E89" w:rsidP="00E0643C">
      <w:pPr>
        <w:contextualSpacing/>
        <w:rPr>
          <w:rFonts w:cs="Times New Roman"/>
          <w:b/>
          <w:sz w:val="32"/>
          <w:szCs w:val="32"/>
        </w:rPr>
      </w:pPr>
      <w:r w:rsidRPr="0093603C">
        <w:rPr>
          <w:rFonts w:cs="Times New Roman"/>
          <w:b/>
          <w:sz w:val="32"/>
          <w:szCs w:val="32"/>
        </w:rPr>
        <w:t xml:space="preserve">Possible </w:t>
      </w:r>
      <w:r w:rsidR="00241BBF" w:rsidRPr="0093603C">
        <w:rPr>
          <w:rFonts w:cs="Times New Roman"/>
          <w:b/>
          <w:sz w:val="32"/>
          <w:szCs w:val="32"/>
        </w:rPr>
        <w:t xml:space="preserve">contextual </w:t>
      </w:r>
      <w:r w:rsidRPr="0093603C">
        <w:rPr>
          <w:rFonts w:cs="Times New Roman"/>
          <w:b/>
          <w:sz w:val="32"/>
          <w:szCs w:val="32"/>
        </w:rPr>
        <w:t>explanations</w:t>
      </w:r>
    </w:p>
    <w:p w14:paraId="3D70BC54" w14:textId="77777777" w:rsidR="00576E89" w:rsidRDefault="00576E89" w:rsidP="00E0643C">
      <w:pPr>
        <w:contextualSpacing/>
        <w:rPr>
          <w:rFonts w:cs="Times New Roman"/>
          <w:sz w:val="24"/>
          <w:szCs w:val="24"/>
        </w:rPr>
      </w:pPr>
    </w:p>
    <w:p w14:paraId="28F5A774" w14:textId="3DDD4C2D" w:rsidR="00241BBF" w:rsidRDefault="00F15A4C" w:rsidP="00C80ECE">
      <w:pPr>
        <w:contextualSpacing/>
        <w:rPr>
          <w:rFonts w:cs="Times New Roman"/>
          <w:sz w:val="24"/>
          <w:szCs w:val="24"/>
        </w:rPr>
      </w:pPr>
      <w:r>
        <w:rPr>
          <w:rFonts w:cs="Times New Roman"/>
          <w:sz w:val="24"/>
          <w:szCs w:val="24"/>
        </w:rPr>
        <w:t>W</w:t>
      </w:r>
      <w:r w:rsidR="00E0643C" w:rsidRPr="00576E89">
        <w:rPr>
          <w:rFonts w:cs="Times New Roman"/>
          <w:sz w:val="24"/>
          <w:szCs w:val="24"/>
        </w:rPr>
        <w:t>hat explains the London Effect</w:t>
      </w:r>
      <w:r w:rsidR="00E0643C">
        <w:rPr>
          <w:rFonts w:cs="Times New Roman"/>
          <w:sz w:val="24"/>
          <w:szCs w:val="24"/>
        </w:rPr>
        <w:t xml:space="preserve"> </w:t>
      </w:r>
      <w:r w:rsidR="00576E89">
        <w:rPr>
          <w:rFonts w:cs="Times New Roman"/>
          <w:sz w:val="24"/>
          <w:szCs w:val="24"/>
        </w:rPr>
        <w:t xml:space="preserve">at the primary level </w:t>
      </w:r>
      <w:r w:rsidR="00E0643C">
        <w:rPr>
          <w:rFonts w:cs="Times New Roman"/>
          <w:sz w:val="24"/>
          <w:szCs w:val="24"/>
        </w:rPr>
        <w:t>both (1) generally and (2) as it shows itself in Hackney and Tower Hamlets? Or</w:t>
      </w:r>
      <w:r w:rsidR="00CF2C65">
        <w:rPr>
          <w:rFonts w:cs="Times New Roman"/>
          <w:sz w:val="24"/>
          <w:szCs w:val="24"/>
        </w:rPr>
        <w:t>,</w:t>
      </w:r>
      <w:r w:rsidR="00E0643C">
        <w:rPr>
          <w:rFonts w:cs="Times New Roman"/>
          <w:sz w:val="24"/>
          <w:szCs w:val="24"/>
        </w:rPr>
        <w:t xml:space="preserve"> more specifically, what changes in context, or what particular policies and practices</w:t>
      </w:r>
      <w:r w:rsidR="009E2EB4">
        <w:rPr>
          <w:rFonts w:cs="Times New Roman"/>
          <w:sz w:val="24"/>
          <w:szCs w:val="24"/>
        </w:rPr>
        <w:t>,</w:t>
      </w:r>
      <w:r w:rsidR="00E0643C">
        <w:rPr>
          <w:rFonts w:cs="Times New Roman"/>
          <w:sz w:val="24"/>
          <w:szCs w:val="24"/>
        </w:rPr>
        <w:t xml:space="preserve"> generated such </w:t>
      </w:r>
      <w:r w:rsidR="00CF2C65">
        <w:rPr>
          <w:rFonts w:cs="Times New Roman"/>
          <w:sz w:val="24"/>
          <w:szCs w:val="24"/>
        </w:rPr>
        <w:t xml:space="preserve">remarkable </w:t>
      </w:r>
      <w:r w:rsidR="00E0643C">
        <w:rPr>
          <w:rFonts w:cs="Times New Roman"/>
          <w:sz w:val="24"/>
          <w:szCs w:val="24"/>
        </w:rPr>
        <w:t xml:space="preserve">turnarounds? </w:t>
      </w:r>
      <w:r w:rsidR="00AF4038">
        <w:rPr>
          <w:rFonts w:cs="Times New Roman"/>
          <w:sz w:val="24"/>
          <w:szCs w:val="24"/>
        </w:rPr>
        <w:t xml:space="preserve">Several </w:t>
      </w:r>
      <w:r w:rsidR="00133761">
        <w:rPr>
          <w:rFonts w:cs="Times New Roman"/>
          <w:sz w:val="24"/>
          <w:szCs w:val="24"/>
        </w:rPr>
        <w:t xml:space="preserve">contextual </w:t>
      </w:r>
      <w:r w:rsidR="00133761">
        <w:rPr>
          <w:rFonts w:cs="Times New Roman"/>
          <w:sz w:val="24"/>
          <w:szCs w:val="24"/>
        </w:rPr>
        <w:lastRenderedPageBreak/>
        <w:t>or external factors</w:t>
      </w:r>
      <w:r w:rsidR="00AF4038">
        <w:rPr>
          <w:rFonts w:cs="Times New Roman"/>
          <w:sz w:val="24"/>
          <w:szCs w:val="24"/>
        </w:rPr>
        <w:t xml:space="preserve"> –</w:t>
      </w:r>
      <w:r w:rsidR="009E2EB4">
        <w:rPr>
          <w:rFonts w:cs="Times New Roman"/>
          <w:sz w:val="24"/>
          <w:szCs w:val="24"/>
        </w:rPr>
        <w:t xml:space="preserve"> notably </w:t>
      </w:r>
      <w:r w:rsidR="00AF4038">
        <w:rPr>
          <w:rFonts w:cs="Times New Roman"/>
          <w:sz w:val="24"/>
          <w:szCs w:val="24"/>
        </w:rPr>
        <w:t>the c</w:t>
      </w:r>
      <w:r w:rsidR="00133761">
        <w:rPr>
          <w:rFonts w:cs="Times New Roman"/>
          <w:sz w:val="24"/>
          <w:szCs w:val="24"/>
        </w:rPr>
        <w:t xml:space="preserve">hanging ethnic mix of the students, </w:t>
      </w:r>
      <w:r w:rsidR="00AF4038">
        <w:rPr>
          <w:rFonts w:cs="Times New Roman"/>
          <w:sz w:val="24"/>
          <w:szCs w:val="24"/>
        </w:rPr>
        <w:t>g</w:t>
      </w:r>
      <w:r w:rsidR="00133761">
        <w:rPr>
          <w:rFonts w:cs="Times New Roman"/>
          <w:sz w:val="24"/>
          <w:szCs w:val="24"/>
        </w:rPr>
        <w:t>entrification</w:t>
      </w:r>
      <w:r w:rsidR="0056060B">
        <w:rPr>
          <w:rFonts w:cs="Times New Roman"/>
          <w:sz w:val="24"/>
          <w:szCs w:val="24"/>
        </w:rPr>
        <w:t>,</w:t>
      </w:r>
      <w:r w:rsidR="00F73815">
        <w:rPr>
          <w:rFonts w:cs="Times New Roman"/>
          <w:sz w:val="24"/>
          <w:szCs w:val="24"/>
        </w:rPr>
        <w:t xml:space="preserve"> </w:t>
      </w:r>
      <w:r w:rsidR="00133761">
        <w:rPr>
          <w:rFonts w:cs="Times New Roman"/>
          <w:sz w:val="24"/>
          <w:szCs w:val="24"/>
        </w:rPr>
        <w:t xml:space="preserve">significant growth in </w:t>
      </w:r>
      <w:r w:rsidR="0056060B">
        <w:rPr>
          <w:rFonts w:cs="Times New Roman"/>
          <w:sz w:val="24"/>
          <w:szCs w:val="24"/>
        </w:rPr>
        <w:t>school funding directed toward disadvantaged students</w:t>
      </w:r>
      <w:r w:rsidR="0013735A">
        <w:rPr>
          <w:rFonts w:cs="Times New Roman"/>
          <w:sz w:val="24"/>
          <w:szCs w:val="24"/>
        </w:rPr>
        <w:t>, and other national policies --</w:t>
      </w:r>
      <w:r w:rsidR="00133761">
        <w:rPr>
          <w:rFonts w:cs="Times New Roman"/>
          <w:sz w:val="24"/>
          <w:szCs w:val="24"/>
        </w:rPr>
        <w:t xml:space="preserve"> are </w:t>
      </w:r>
      <w:r w:rsidR="00C80ECE">
        <w:rPr>
          <w:rFonts w:cs="Times New Roman"/>
          <w:sz w:val="24"/>
          <w:szCs w:val="24"/>
        </w:rPr>
        <w:t>potential contributors</w:t>
      </w:r>
      <w:r w:rsidR="0056060B">
        <w:rPr>
          <w:rFonts w:cs="Times New Roman"/>
          <w:sz w:val="24"/>
          <w:szCs w:val="24"/>
        </w:rPr>
        <w:t xml:space="preserve"> to the success of the </w:t>
      </w:r>
      <w:r w:rsidR="0013735A">
        <w:rPr>
          <w:rFonts w:cs="Times New Roman"/>
          <w:sz w:val="24"/>
          <w:szCs w:val="24"/>
        </w:rPr>
        <w:t xml:space="preserve">pupils </w:t>
      </w:r>
      <w:r w:rsidR="0056060B">
        <w:rPr>
          <w:rFonts w:cs="Times New Roman"/>
          <w:sz w:val="24"/>
          <w:szCs w:val="24"/>
        </w:rPr>
        <w:t>in Inner London</w:t>
      </w:r>
      <w:r w:rsidR="00C80ECE">
        <w:rPr>
          <w:rFonts w:cs="Times New Roman"/>
          <w:sz w:val="24"/>
          <w:szCs w:val="24"/>
        </w:rPr>
        <w:t xml:space="preserve">. </w:t>
      </w:r>
      <w:r w:rsidR="00AF4038">
        <w:rPr>
          <w:rFonts w:cs="Times New Roman"/>
          <w:sz w:val="24"/>
          <w:szCs w:val="24"/>
        </w:rPr>
        <w:t xml:space="preserve">Our data show that, while one or more of them, may have facilitated the turnaround, </w:t>
      </w:r>
      <w:r w:rsidR="00C80ECE">
        <w:rPr>
          <w:rFonts w:cs="Times New Roman"/>
          <w:sz w:val="24"/>
          <w:szCs w:val="24"/>
        </w:rPr>
        <w:t xml:space="preserve">they </w:t>
      </w:r>
      <w:r w:rsidR="00133761">
        <w:rPr>
          <w:rFonts w:cs="Times New Roman"/>
          <w:sz w:val="24"/>
          <w:szCs w:val="24"/>
        </w:rPr>
        <w:t xml:space="preserve">do not represent the full explanation. </w:t>
      </w:r>
    </w:p>
    <w:p w14:paraId="7325C4CF" w14:textId="77777777" w:rsidR="00241BBF" w:rsidRDefault="00241BBF" w:rsidP="00C80ECE">
      <w:pPr>
        <w:contextualSpacing/>
        <w:rPr>
          <w:rFonts w:cs="Times New Roman"/>
          <w:sz w:val="24"/>
          <w:szCs w:val="24"/>
        </w:rPr>
      </w:pPr>
    </w:p>
    <w:p w14:paraId="0AFC37D5" w14:textId="77777777" w:rsidR="00E0643C" w:rsidRPr="009E2EB4" w:rsidRDefault="0056060B" w:rsidP="00C80ECE">
      <w:pPr>
        <w:contextualSpacing/>
        <w:rPr>
          <w:rFonts w:cs="Times New Roman"/>
          <w:b/>
          <w:sz w:val="28"/>
          <w:szCs w:val="28"/>
        </w:rPr>
      </w:pPr>
      <w:r w:rsidRPr="009E2EB4">
        <w:rPr>
          <w:rFonts w:cs="Times New Roman"/>
          <w:b/>
          <w:sz w:val="28"/>
          <w:szCs w:val="28"/>
        </w:rPr>
        <w:t xml:space="preserve">The ethnic </w:t>
      </w:r>
      <w:r w:rsidR="00E0643C" w:rsidRPr="009E2EB4">
        <w:rPr>
          <w:rFonts w:cs="Times New Roman"/>
          <w:b/>
          <w:sz w:val="28"/>
          <w:szCs w:val="28"/>
        </w:rPr>
        <w:t xml:space="preserve">mix of students </w:t>
      </w:r>
    </w:p>
    <w:p w14:paraId="08F698F6" w14:textId="77777777" w:rsidR="00DF5403" w:rsidRPr="00C80ECE" w:rsidRDefault="00DF5403" w:rsidP="00C80ECE">
      <w:pPr>
        <w:contextualSpacing/>
        <w:rPr>
          <w:rFonts w:cs="Times New Roman"/>
          <w:b/>
          <w:i/>
          <w:sz w:val="24"/>
          <w:szCs w:val="24"/>
        </w:rPr>
      </w:pPr>
    </w:p>
    <w:p w14:paraId="7756B9C7" w14:textId="2CB7DE9B" w:rsidR="00E0643C" w:rsidRDefault="00CF2C65" w:rsidP="009E2EB4">
      <w:pPr>
        <w:rPr>
          <w:rFonts w:cs="Times New Roman"/>
          <w:sz w:val="24"/>
          <w:szCs w:val="24"/>
        </w:rPr>
      </w:pPr>
      <w:r w:rsidRPr="007B45D7">
        <w:rPr>
          <w:rFonts w:cs="Times New Roman"/>
          <w:sz w:val="24"/>
          <w:szCs w:val="24"/>
        </w:rPr>
        <w:t xml:space="preserve">Many observers </w:t>
      </w:r>
      <w:r w:rsidR="0056060B" w:rsidRPr="007B45D7">
        <w:rPr>
          <w:rFonts w:cs="Times New Roman"/>
          <w:sz w:val="24"/>
          <w:szCs w:val="24"/>
        </w:rPr>
        <w:t xml:space="preserve">have noted that the </w:t>
      </w:r>
      <w:r w:rsidR="00E0643C" w:rsidRPr="007B45D7">
        <w:rPr>
          <w:rFonts w:cs="Times New Roman"/>
          <w:sz w:val="24"/>
          <w:szCs w:val="24"/>
        </w:rPr>
        <w:t>presence of large number</w:t>
      </w:r>
      <w:r w:rsidR="006A7BBA">
        <w:rPr>
          <w:rFonts w:cs="Times New Roman"/>
          <w:sz w:val="24"/>
          <w:szCs w:val="24"/>
        </w:rPr>
        <w:t>s</w:t>
      </w:r>
      <w:r w:rsidR="00E0643C" w:rsidRPr="007B45D7">
        <w:rPr>
          <w:rFonts w:cs="Times New Roman"/>
          <w:sz w:val="24"/>
          <w:szCs w:val="24"/>
        </w:rPr>
        <w:t xml:space="preserve"> of upwardly mobile immigrants</w:t>
      </w:r>
      <w:r w:rsidR="00576E89" w:rsidRPr="007B45D7">
        <w:rPr>
          <w:rFonts w:cs="Times New Roman"/>
          <w:sz w:val="24"/>
          <w:szCs w:val="24"/>
        </w:rPr>
        <w:t xml:space="preserve"> with high aspirations </w:t>
      </w:r>
      <w:r w:rsidR="002F493A" w:rsidRPr="007B45D7">
        <w:rPr>
          <w:rFonts w:cs="Times New Roman"/>
          <w:sz w:val="24"/>
          <w:szCs w:val="24"/>
        </w:rPr>
        <w:t xml:space="preserve">may have </w:t>
      </w:r>
      <w:r w:rsidR="00E0643C" w:rsidRPr="007B45D7">
        <w:rPr>
          <w:rFonts w:cs="Times New Roman"/>
          <w:sz w:val="24"/>
          <w:szCs w:val="24"/>
        </w:rPr>
        <w:t xml:space="preserve">been a </w:t>
      </w:r>
      <w:r w:rsidR="00576E89" w:rsidRPr="007B45D7">
        <w:rPr>
          <w:rFonts w:cs="Times New Roman"/>
          <w:sz w:val="24"/>
          <w:szCs w:val="24"/>
        </w:rPr>
        <w:t>strong positive force</w:t>
      </w:r>
      <w:r w:rsidR="00B02001" w:rsidRPr="007B45D7">
        <w:rPr>
          <w:rFonts w:cs="Times New Roman"/>
          <w:sz w:val="24"/>
          <w:szCs w:val="24"/>
        </w:rPr>
        <w:t xml:space="preserve"> for </w:t>
      </w:r>
      <w:r w:rsidR="000F527B">
        <w:rPr>
          <w:rFonts w:cs="Times New Roman"/>
          <w:sz w:val="24"/>
          <w:szCs w:val="24"/>
        </w:rPr>
        <w:t xml:space="preserve">high academic achievement in London.  </w:t>
      </w:r>
      <w:r w:rsidR="001E2CD4" w:rsidRPr="007B45D7">
        <w:rPr>
          <w:rFonts w:cs="Times New Roman"/>
          <w:sz w:val="24"/>
          <w:szCs w:val="24"/>
        </w:rPr>
        <w:t>Indeed</w:t>
      </w:r>
      <w:r w:rsidR="004F355C">
        <w:rPr>
          <w:rFonts w:cs="Times New Roman"/>
          <w:sz w:val="24"/>
          <w:szCs w:val="24"/>
        </w:rPr>
        <w:t>,</w:t>
      </w:r>
      <w:r w:rsidR="001E2CD4" w:rsidRPr="007B45D7">
        <w:rPr>
          <w:rFonts w:cs="Times New Roman"/>
          <w:sz w:val="24"/>
          <w:szCs w:val="24"/>
        </w:rPr>
        <w:t xml:space="preserve"> one researcher </w:t>
      </w:r>
      <w:r w:rsidR="00B02001" w:rsidRPr="007B45D7">
        <w:rPr>
          <w:rFonts w:cs="Times New Roman"/>
          <w:sz w:val="24"/>
          <w:szCs w:val="24"/>
        </w:rPr>
        <w:t xml:space="preserve">makes </w:t>
      </w:r>
      <w:r w:rsidR="009E2EB4">
        <w:rPr>
          <w:rFonts w:cs="Times New Roman"/>
          <w:sz w:val="24"/>
          <w:szCs w:val="24"/>
        </w:rPr>
        <w:t xml:space="preserve">an </w:t>
      </w:r>
      <w:r w:rsidR="001E2CD4" w:rsidRPr="007B45D7">
        <w:rPr>
          <w:rFonts w:cs="Times New Roman"/>
          <w:sz w:val="24"/>
          <w:szCs w:val="24"/>
        </w:rPr>
        <w:t>empirically-backed c</w:t>
      </w:r>
      <w:r w:rsidR="00B02001" w:rsidRPr="007B45D7">
        <w:rPr>
          <w:rFonts w:cs="Times New Roman"/>
          <w:sz w:val="24"/>
          <w:szCs w:val="24"/>
        </w:rPr>
        <w:t xml:space="preserve">laim that </w:t>
      </w:r>
      <w:r w:rsidR="00495084" w:rsidRPr="007B45D7">
        <w:rPr>
          <w:rFonts w:cs="Times New Roman"/>
          <w:sz w:val="24"/>
          <w:szCs w:val="24"/>
        </w:rPr>
        <w:t xml:space="preserve">100 percent </w:t>
      </w:r>
      <w:r w:rsidRPr="007B45D7">
        <w:rPr>
          <w:rFonts w:cs="Times New Roman"/>
          <w:sz w:val="24"/>
          <w:szCs w:val="24"/>
        </w:rPr>
        <w:t xml:space="preserve">of the </w:t>
      </w:r>
      <w:r w:rsidR="0056060B" w:rsidRPr="007B45D7">
        <w:rPr>
          <w:rFonts w:cs="Times New Roman"/>
          <w:sz w:val="24"/>
          <w:szCs w:val="24"/>
        </w:rPr>
        <w:t xml:space="preserve">London Effect </w:t>
      </w:r>
      <w:r w:rsidR="002F493A" w:rsidRPr="007B45D7">
        <w:rPr>
          <w:rFonts w:cs="Times New Roman"/>
          <w:sz w:val="24"/>
          <w:szCs w:val="24"/>
        </w:rPr>
        <w:t xml:space="preserve">at the secondary level </w:t>
      </w:r>
      <w:r w:rsidR="0056060B" w:rsidRPr="007B45D7">
        <w:rPr>
          <w:rFonts w:cs="Times New Roman"/>
          <w:sz w:val="24"/>
          <w:szCs w:val="24"/>
        </w:rPr>
        <w:t xml:space="preserve">reflects </w:t>
      </w:r>
      <w:r w:rsidR="00AF4038" w:rsidRPr="007B45D7">
        <w:rPr>
          <w:rFonts w:cs="Times New Roman"/>
          <w:sz w:val="24"/>
          <w:szCs w:val="24"/>
        </w:rPr>
        <w:t xml:space="preserve">the city’s </w:t>
      </w:r>
      <w:r w:rsidR="001E2CD4" w:rsidRPr="007B45D7">
        <w:rPr>
          <w:rFonts w:cs="Times New Roman"/>
          <w:sz w:val="24"/>
          <w:szCs w:val="24"/>
        </w:rPr>
        <w:t>disproportionately large share of ethnic minorities</w:t>
      </w:r>
      <w:r w:rsidR="00FC7499">
        <w:rPr>
          <w:rFonts w:cs="Times New Roman"/>
          <w:sz w:val="24"/>
          <w:szCs w:val="24"/>
        </w:rPr>
        <w:t xml:space="preserve">, who happen to be disproportionately composed of </w:t>
      </w:r>
      <w:r w:rsidR="00A106A2">
        <w:rPr>
          <w:rFonts w:cs="Times New Roman"/>
          <w:sz w:val="24"/>
          <w:szCs w:val="24"/>
        </w:rPr>
        <w:t xml:space="preserve">highly motivated </w:t>
      </w:r>
      <w:r w:rsidR="00FC7499">
        <w:rPr>
          <w:rFonts w:cs="Times New Roman"/>
          <w:sz w:val="24"/>
          <w:szCs w:val="24"/>
        </w:rPr>
        <w:t>Asians</w:t>
      </w:r>
      <w:r w:rsidR="001E2CD4" w:rsidRPr="007B45D7">
        <w:rPr>
          <w:rFonts w:cs="Times New Roman"/>
          <w:sz w:val="24"/>
          <w:szCs w:val="24"/>
        </w:rPr>
        <w:t xml:space="preserve"> (Burgess, 2014).</w:t>
      </w:r>
      <w:r w:rsidR="00EB6099" w:rsidRPr="007B45D7">
        <w:rPr>
          <w:rFonts w:cs="Times New Roman"/>
          <w:sz w:val="24"/>
          <w:szCs w:val="24"/>
        </w:rPr>
        <w:t xml:space="preserve"> </w:t>
      </w:r>
      <w:r w:rsidR="00B02001" w:rsidRPr="007B45D7">
        <w:rPr>
          <w:rFonts w:cs="Times New Roman"/>
          <w:sz w:val="24"/>
          <w:szCs w:val="24"/>
        </w:rPr>
        <w:t xml:space="preserve">Other </w:t>
      </w:r>
      <w:r w:rsidR="001E2CD4" w:rsidRPr="007B45D7">
        <w:rPr>
          <w:rFonts w:cs="Times New Roman"/>
          <w:sz w:val="24"/>
          <w:szCs w:val="24"/>
        </w:rPr>
        <w:t xml:space="preserve">researchers acknowledge the </w:t>
      </w:r>
      <w:r w:rsidR="00B02001" w:rsidRPr="007B45D7">
        <w:rPr>
          <w:rFonts w:cs="Times New Roman"/>
          <w:sz w:val="24"/>
          <w:szCs w:val="24"/>
        </w:rPr>
        <w:t xml:space="preserve">potential importance of </w:t>
      </w:r>
      <w:r w:rsidR="001E2CD4" w:rsidRPr="007B45D7">
        <w:rPr>
          <w:rFonts w:cs="Times New Roman"/>
          <w:sz w:val="24"/>
          <w:szCs w:val="24"/>
        </w:rPr>
        <w:t xml:space="preserve">ethnicity </w:t>
      </w:r>
      <w:r w:rsidR="000F527B">
        <w:rPr>
          <w:rFonts w:cs="Times New Roman"/>
          <w:sz w:val="24"/>
          <w:szCs w:val="24"/>
        </w:rPr>
        <w:t xml:space="preserve">for explaining the differential </w:t>
      </w:r>
      <w:r w:rsidR="000F527B" w:rsidRPr="000F527B">
        <w:rPr>
          <w:rFonts w:cs="Times New Roman"/>
          <w:i/>
          <w:sz w:val="24"/>
          <w:szCs w:val="24"/>
        </w:rPr>
        <w:t xml:space="preserve">levels </w:t>
      </w:r>
      <w:r w:rsidR="000F527B">
        <w:rPr>
          <w:rFonts w:cs="Times New Roman"/>
          <w:sz w:val="24"/>
          <w:szCs w:val="24"/>
        </w:rPr>
        <w:t xml:space="preserve">of achievement between disadvantaged primary school pupils in Inner London and the rest of England, but </w:t>
      </w:r>
      <w:r w:rsidR="0056060B" w:rsidRPr="007B45D7">
        <w:rPr>
          <w:rFonts w:cs="Times New Roman"/>
          <w:sz w:val="24"/>
          <w:szCs w:val="24"/>
        </w:rPr>
        <w:t xml:space="preserve">conclude that </w:t>
      </w:r>
      <w:r w:rsidR="000F527B">
        <w:rPr>
          <w:rFonts w:cs="Times New Roman"/>
          <w:sz w:val="24"/>
          <w:szCs w:val="24"/>
        </w:rPr>
        <w:t xml:space="preserve">ethnicity plays at most a small role </w:t>
      </w:r>
      <w:r w:rsidR="00FE2E00">
        <w:rPr>
          <w:rFonts w:cs="Times New Roman"/>
          <w:sz w:val="24"/>
          <w:szCs w:val="24"/>
        </w:rPr>
        <w:t xml:space="preserve">(less than 20 percent) </w:t>
      </w:r>
      <w:r w:rsidR="000F527B">
        <w:rPr>
          <w:rFonts w:cs="Times New Roman"/>
          <w:sz w:val="24"/>
          <w:szCs w:val="24"/>
        </w:rPr>
        <w:t xml:space="preserve">in explaining the </w:t>
      </w:r>
      <w:r w:rsidR="000F527B" w:rsidRPr="000F527B">
        <w:rPr>
          <w:rFonts w:cs="Times New Roman"/>
          <w:i/>
          <w:sz w:val="24"/>
          <w:szCs w:val="24"/>
        </w:rPr>
        <w:t>gains</w:t>
      </w:r>
      <w:r w:rsidR="000F527B">
        <w:rPr>
          <w:rFonts w:cs="Times New Roman"/>
          <w:sz w:val="24"/>
          <w:szCs w:val="24"/>
        </w:rPr>
        <w:t xml:space="preserve"> in the achievement of th</w:t>
      </w:r>
      <w:r w:rsidR="00FE2E00">
        <w:rPr>
          <w:rFonts w:cs="Times New Roman"/>
          <w:sz w:val="24"/>
          <w:szCs w:val="24"/>
        </w:rPr>
        <w:t xml:space="preserve">e London students </w:t>
      </w:r>
      <w:r w:rsidR="000F527B">
        <w:rPr>
          <w:rFonts w:cs="Times New Roman"/>
          <w:sz w:val="24"/>
          <w:szCs w:val="24"/>
        </w:rPr>
        <w:t>relative to th</w:t>
      </w:r>
      <w:r w:rsidR="00FE2E00">
        <w:rPr>
          <w:rFonts w:cs="Times New Roman"/>
          <w:sz w:val="24"/>
          <w:szCs w:val="24"/>
        </w:rPr>
        <w:t>eir counterparts elsewhere in the country during the</w:t>
      </w:r>
      <w:r w:rsidR="000F527B">
        <w:rPr>
          <w:rFonts w:cs="Times New Roman"/>
          <w:sz w:val="24"/>
          <w:szCs w:val="24"/>
        </w:rPr>
        <w:t xml:space="preserve"> </w:t>
      </w:r>
      <w:r w:rsidR="00FE2E00">
        <w:rPr>
          <w:rFonts w:cs="Times New Roman"/>
          <w:sz w:val="24"/>
          <w:szCs w:val="24"/>
        </w:rPr>
        <w:t xml:space="preserve">2002-2013 </w:t>
      </w:r>
      <w:r w:rsidR="000F527B">
        <w:rPr>
          <w:rFonts w:cs="Times New Roman"/>
          <w:sz w:val="24"/>
          <w:szCs w:val="24"/>
        </w:rPr>
        <w:t xml:space="preserve">period </w:t>
      </w:r>
      <w:r w:rsidR="00495084" w:rsidRPr="00D602C6">
        <w:rPr>
          <w:rFonts w:cs="Times New Roman"/>
          <w:sz w:val="24"/>
          <w:szCs w:val="24"/>
        </w:rPr>
        <w:t>(</w:t>
      </w:r>
      <w:r w:rsidR="001E2CD4" w:rsidRPr="00D602C6">
        <w:rPr>
          <w:rFonts w:cs="Times New Roman"/>
          <w:sz w:val="24"/>
          <w:szCs w:val="24"/>
        </w:rPr>
        <w:t>Blandon, 2015</w:t>
      </w:r>
      <w:r w:rsidR="000F527B">
        <w:rPr>
          <w:rFonts w:cs="Times New Roman"/>
          <w:sz w:val="24"/>
          <w:szCs w:val="24"/>
        </w:rPr>
        <w:t>, Table 5</w:t>
      </w:r>
      <w:r w:rsidR="005F7F2E" w:rsidRPr="00D602C6">
        <w:rPr>
          <w:rFonts w:cs="Times New Roman"/>
          <w:sz w:val="24"/>
          <w:szCs w:val="24"/>
        </w:rPr>
        <w:t>)</w:t>
      </w:r>
      <w:r w:rsidR="00D602C6">
        <w:rPr>
          <w:rFonts w:cs="Times New Roman"/>
          <w:sz w:val="24"/>
          <w:szCs w:val="24"/>
        </w:rPr>
        <w:t>.</w:t>
      </w:r>
      <w:r w:rsidR="00C80ECE" w:rsidRPr="00D50478">
        <w:rPr>
          <w:rFonts w:cs="Times New Roman"/>
          <w:sz w:val="24"/>
          <w:szCs w:val="24"/>
          <w:highlight w:val="yellow"/>
        </w:rPr>
        <w:t xml:space="preserve"> </w:t>
      </w:r>
    </w:p>
    <w:p w14:paraId="55221222" w14:textId="4D12FDB4" w:rsidR="002531C6" w:rsidRDefault="00C80ECE" w:rsidP="00C80ECE">
      <w:pPr>
        <w:contextualSpacing/>
        <w:rPr>
          <w:rFonts w:cs="Times New Roman"/>
          <w:sz w:val="24"/>
          <w:szCs w:val="24"/>
        </w:rPr>
      </w:pPr>
      <w:r>
        <w:rPr>
          <w:rFonts w:cs="Times New Roman"/>
          <w:sz w:val="24"/>
          <w:szCs w:val="24"/>
        </w:rPr>
        <w:t xml:space="preserve">The </w:t>
      </w:r>
      <w:r w:rsidR="00495084">
        <w:rPr>
          <w:rFonts w:cs="Times New Roman"/>
          <w:sz w:val="24"/>
          <w:szCs w:val="24"/>
        </w:rPr>
        <w:t xml:space="preserve">ethnicity argument is </w:t>
      </w:r>
      <w:r>
        <w:rPr>
          <w:rFonts w:cs="Times New Roman"/>
          <w:sz w:val="24"/>
          <w:szCs w:val="24"/>
        </w:rPr>
        <w:t xml:space="preserve">most </w:t>
      </w:r>
      <w:r w:rsidR="002F493A">
        <w:rPr>
          <w:rFonts w:cs="Times New Roman"/>
          <w:sz w:val="24"/>
          <w:szCs w:val="24"/>
        </w:rPr>
        <w:t xml:space="preserve">tempting </w:t>
      </w:r>
      <w:r>
        <w:rPr>
          <w:rFonts w:cs="Times New Roman"/>
          <w:sz w:val="24"/>
          <w:szCs w:val="24"/>
        </w:rPr>
        <w:t>for Tower Hamlets whose population</w:t>
      </w:r>
      <w:r w:rsidR="002F493A">
        <w:rPr>
          <w:rFonts w:cs="Times New Roman"/>
          <w:sz w:val="24"/>
          <w:szCs w:val="24"/>
        </w:rPr>
        <w:t xml:space="preserve"> is </w:t>
      </w:r>
      <w:r w:rsidR="0056060B">
        <w:rPr>
          <w:rFonts w:cs="Times New Roman"/>
          <w:sz w:val="24"/>
          <w:szCs w:val="24"/>
        </w:rPr>
        <w:t xml:space="preserve">comprised of more than </w:t>
      </w:r>
      <w:r w:rsidR="00A154C8">
        <w:rPr>
          <w:rFonts w:cs="Times New Roman"/>
          <w:sz w:val="24"/>
          <w:szCs w:val="24"/>
        </w:rPr>
        <w:t>6</w:t>
      </w:r>
      <w:r w:rsidR="00D3702D">
        <w:rPr>
          <w:rFonts w:cs="Times New Roman"/>
          <w:sz w:val="24"/>
          <w:szCs w:val="24"/>
        </w:rPr>
        <w:t>9</w:t>
      </w:r>
      <w:r w:rsidR="00495084">
        <w:rPr>
          <w:rFonts w:cs="Times New Roman"/>
          <w:sz w:val="24"/>
          <w:szCs w:val="24"/>
        </w:rPr>
        <w:t xml:space="preserve"> </w:t>
      </w:r>
      <w:r>
        <w:rPr>
          <w:rFonts w:cs="Times New Roman"/>
          <w:sz w:val="24"/>
          <w:szCs w:val="24"/>
        </w:rPr>
        <w:t>percent</w:t>
      </w:r>
      <w:r w:rsidR="00495084">
        <w:rPr>
          <w:rFonts w:cs="Times New Roman"/>
          <w:sz w:val="24"/>
          <w:szCs w:val="24"/>
        </w:rPr>
        <w:t xml:space="preserve"> </w:t>
      </w:r>
      <w:r>
        <w:rPr>
          <w:rFonts w:cs="Times New Roman"/>
          <w:sz w:val="24"/>
          <w:szCs w:val="24"/>
        </w:rPr>
        <w:t>ethnic minorities</w:t>
      </w:r>
      <w:r w:rsidR="00495084">
        <w:rPr>
          <w:rFonts w:cs="Times New Roman"/>
          <w:sz w:val="24"/>
          <w:szCs w:val="24"/>
        </w:rPr>
        <w:t>, the largest group of whom are B</w:t>
      </w:r>
      <w:r w:rsidR="00A106A2">
        <w:rPr>
          <w:rFonts w:cs="Times New Roman"/>
          <w:sz w:val="24"/>
          <w:szCs w:val="24"/>
        </w:rPr>
        <w:t xml:space="preserve">angladeshi. </w:t>
      </w:r>
      <w:r w:rsidR="00D50478">
        <w:rPr>
          <w:rFonts w:cs="Times New Roman"/>
          <w:sz w:val="24"/>
          <w:szCs w:val="24"/>
        </w:rPr>
        <w:t xml:space="preserve"> </w:t>
      </w:r>
      <w:r w:rsidR="00495084">
        <w:rPr>
          <w:rFonts w:cs="Times New Roman"/>
          <w:sz w:val="24"/>
          <w:szCs w:val="24"/>
        </w:rPr>
        <w:t xml:space="preserve">According to Census data, the borough’s population increased </w:t>
      </w:r>
      <w:r w:rsidR="00BD0208">
        <w:rPr>
          <w:rFonts w:cs="Times New Roman"/>
          <w:sz w:val="24"/>
          <w:szCs w:val="24"/>
        </w:rPr>
        <w:t xml:space="preserve">by about 30 percent, </w:t>
      </w:r>
      <w:r w:rsidR="00495084">
        <w:rPr>
          <w:rFonts w:cs="Times New Roman"/>
          <w:sz w:val="24"/>
          <w:szCs w:val="24"/>
        </w:rPr>
        <w:t xml:space="preserve">from </w:t>
      </w:r>
      <w:r w:rsidR="00A154C8">
        <w:rPr>
          <w:rFonts w:cs="Times New Roman"/>
          <w:sz w:val="24"/>
          <w:szCs w:val="24"/>
        </w:rPr>
        <w:t xml:space="preserve">about </w:t>
      </w:r>
      <w:r w:rsidR="00495084">
        <w:rPr>
          <w:rFonts w:cs="Times New Roman"/>
          <w:sz w:val="24"/>
          <w:szCs w:val="24"/>
        </w:rPr>
        <w:t>196,000 to 254,000</w:t>
      </w:r>
      <w:r w:rsidR="00BD0208">
        <w:rPr>
          <w:rFonts w:cs="Times New Roman"/>
          <w:sz w:val="24"/>
          <w:szCs w:val="24"/>
        </w:rPr>
        <w:t xml:space="preserve">, </w:t>
      </w:r>
      <w:r w:rsidR="003F138A">
        <w:rPr>
          <w:rFonts w:cs="Times New Roman"/>
          <w:sz w:val="24"/>
          <w:szCs w:val="24"/>
        </w:rPr>
        <w:t xml:space="preserve">from 2001 to 2011. </w:t>
      </w:r>
      <w:r w:rsidR="00A154C8">
        <w:rPr>
          <w:rFonts w:cs="Times New Roman"/>
          <w:sz w:val="24"/>
          <w:szCs w:val="24"/>
        </w:rPr>
        <w:t xml:space="preserve"> During this time, the </w:t>
      </w:r>
      <w:r w:rsidR="00BD0208">
        <w:rPr>
          <w:rFonts w:cs="Times New Roman"/>
          <w:sz w:val="24"/>
          <w:szCs w:val="24"/>
        </w:rPr>
        <w:t>W</w:t>
      </w:r>
      <w:r w:rsidR="00F15A4C">
        <w:rPr>
          <w:rFonts w:cs="Times New Roman"/>
          <w:sz w:val="24"/>
          <w:szCs w:val="24"/>
        </w:rPr>
        <w:t xml:space="preserve">hite </w:t>
      </w:r>
      <w:r w:rsidR="00495084">
        <w:rPr>
          <w:rFonts w:cs="Times New Roman"/>
          <w:sz w:val="24"/>
          <w:szCs w:val="24"/>
        </w:rPr>
        <w:t xml:space="preserve">British population </w:t>
      </w:r>
      <w:r w:rsidR="00A154C8">
        <w:rPr>
          <w:rFonts w:cs="Times New Roman"/>
          <w:sz w:val="24"/>
          <w:szCs w:val="24"/>
        </w:rPr>
        <w:t xml:space="preserve">share fell from </w:t>
      </w:r>
      <w:r w:rsidR="00495084">
        <w:rPr>
          <w:rFonts w:cs="Times New Roman"/>
          <w:sz w:val="24"/>
          <w:szCs w:val="24"/>
        </w:rPr>
        <w:t>about 43 percent to</w:t>
      </w:r>
      <w:r w:rsidR="00A154C8">
        <w:rPr>
          <w:rFonts w:cs="Times New Roman"/>
          <w:sz w:val="24"/>
          <w:szCs w:val="24"/>
        </w:rPr>
        <w:t xml:space="preserve"> 31 percent</w:t>
      </w:r>
      <w:r w:rsidR="00D3702D">
        <w:rPr>
          <w:rFonts w:cs="Times New Roman"/>
          <w:sz w:val="24"/>
          <w:szCs w:val="24"/>
        </w:rPr>
        <w:t xml:space="preserve">, </w:t>
      </w:r>
      <w:r w:rsidR="006A7BBA">
        <w:rPr>
          <w:rFonts w:cs="Times New Roman"/>
          <w:sz w:val="24"/>
          <w:szCs w:val="24"/>
        </w:rPr>
        <w:t xml:space="preserve">making </w:t>
      </w:r>
      <w:r w:rsidR="00D3702D">
        <w:rPr>
          <w:rFonts w:cs="Times New Roman"/>
          <w:sz w:val="24"/>
          <w:szCs w:val="24"/>
        </w:rPr>
        <w:t>B</w:t>
      </w:r>
      <w:r w:rsidR="00A106A2">
        <w:rPr>
          <w:rFonts w:cs="Times New Roman"/>
          <w:sz w:val="24"/>
          <w:szCs w:val="24"/>
        </w:rPr>
        <w:t>angladeshis</w:t>
      </w:r>
      <w:r w:rsidR="00D3702D">
        <w:rPr>
          <w:rFonts w:cs="Times New Roman"/>
          <w:sz w:val="24"/>
          <w:szCs w:val="24"/>
        </w:rPr>
        <w:t xml:space="preserve"> </w:t>
      </w:r>
      <w:r w:rsidR="006A7BBA">
        <w:rPr>
          <w:rFonts w:cs="Times New Roman"/>
          <w:sz w:val="24"/>
          <w:szCs w:val="24"/>
        </w:rPr>
        <w:t>who had long represented more than 30 percent of the population</w:t>
      </w:r>
      <w:r w:rsidR="009E2EB4">
        <w:rPr>
          <w:rFonts w:cs="Times New Roman"/>
          <w:sz w:val="24"/>
          <w:szCs w:val="24"/>
        </w:rPr>
        <w:t>,</w:t>
      </w:r>
      <w:r w:rsidR="006A7BBA">
        <w:rPr>
          <w:rFonts w:cs="Times New Roman"/>
          <w:sz w:val="24"/>
          <w:szCs w:val="24"/>
        </w:rPr>
        <w:t xml:space="preserve"> </w:t>
      </w:r>
      <w:r w:rsidR="00D3702D">
        <w:rPr>
          <w:rFonts w:cs="Times New Roman"/>
          <w:sz w:val="24"/>
          <w:szCs w:val="24"/>
        </w:rPr>
        <w:t>the largest ethnic group at 32 percent</w:t>
      </w:r>
      <w:r w:rsidR="002F493A">
        <w:rPr>
          <w:rFonts w:cs="Times New Roman"/>
          <w:sz w:val="24"/>
          <w:szCs w:val="24"/>
        </w:rPr>
        <w:t xml:space="preserve">. </w:t>
      </w:r>
      <w:r w:rsidR="00D3702D">
        <w:rPr>
          <w:rFonts w:cs="Times New Roman"/>
          <w:sz w:val="24"/>
          <w:szCs w:val="24"/>
        </w:rPr>
        <w:t>Other</w:t>
      </w:r>
      <w:r w:rsidR="00F15A4C">
        <w:rPr>
          <w:rFonts w:cs="Times New Roman"/>
          <w:sz w:val="24"/>
          <w:szCs w:val="24"/>
        </w:rPr>
        <w:t xml:space="preserve"> </w:t>
      </w:r>
      <w:r w:rsidR="00C6672F">
        <w:rPr>
          <w:rFonts w:cs="Times New Roman"/>
          <w:sz w:val="24"/>
          <w:szCs w:val="24"/>
        </w:rPr>
        <w:t xml:space="preserve">represented groups </w:t>
      </w:r>
      <w:r w:rsidR="00D3702D">
        <w:rPr>
          <w:rFonts w:cs="Times New Roman"/>
          <w:sz w:val="24"/>
          <w:szCs w:val="24"/>
        </w:rPr>
        <w:t xml:space="preserve">include </w:t>
      </w:r>
      <w:r w:rsidR="00BD0208">
        <w:rPr>
          <w:rFonts w:cs="Times New Roman"/>
          <w:sz w:val="24"/>
          <w:szCs w:val="24"/>
        </w:rPr>
        <w:t>W</w:t>
      </w:r>
      <w:r w:rsidR="00F15A4C">
        <w:rPr>
          <w:rFonts w:cs="Times New Roman"/>
          <w:sz w:val="24"/>
          <w:szCs w:val="24"/>
        </w:rPr>
        <w:t xml:space="preserve">hite </w:t>
      </w:r>
      <w:r w:rsidR="00BD0208">
        <w:rPr>
          <w:rFonts w:cs="Times New Roman"/>
          <w:sz w:val="24"/>
          <w:szCs w:val="24"/>
        </w:rPr>
        <w:t>non-</w:t>
      </w:r>
      <w:r w:rsidR="00D3702D">
        <w:rPr>
          <w:rFonts w:cs="Times New Roman"/>
          <w:sz w:val="24"/>
          <w:szCs w:val="24"/>
        </w:rPr>
        <w:t>British (12 %), Black Africans (4 %), Chinese (3%</w:t>
      </w:r>
      <w:r w:rsidR="00D602C6">
        <w:rPr>
          <w:rFonts w:cs="Times New Roman"/>
          <w:sz w:val="24"/>
          <w:szCs w:val="24"/>
        </w:rPr>
        <w:t>) and many other smaller groups.</w:t>
      </w:r>
      <w:r w:rsidR="00D602C6">
        <w:rPr>
          <w:rStyle w:val="FootnoteReference"/>
          <w:rFonts w:cs="Times New Roman"/>
          <w:sz w:val="24"/>
          <w:szCs w:val="24"/>
        </w:rPr>
        <w:footnoteReference w:id="9"/>
      </w:r>
      <w:r w:rsidR="00D3702D">
        <w:rPr>
          <w:rFonts w:cs="Times New Roman"/>
          <w:sz w:val="24"/>
          <w:szCs w:val="24"/>
        </w:rPr>
        <w:t xml:space="preserve"> Because Asian students </w:t>
      </w:r>
      <w:r w:rsidR="00A106A2">
        <w:rPr>
          <w:rFonts w:cs="Times New Roman"/>
          <w:sz w:val="24"/>
          <w:szCs w:val="24"/>
        </w:rPr>
        <w:t xml:space="preserve">improved more than </w:t>
      </w:r>
      <w:r w:rsidR="00573F9B">
        <w:rPr>
          <w:rFonts w:cs="Times New Roman"/>
          <w:sz w:val="24"/>
          <w:szCs w:val="24"/>
        </w:rPr>
        <w:t xml:space="preserve">most </w:t>
      </w:r>
      <w:r w:rsidR="00A106A2">
        <w:rPr>
          <w:rFonts w:cs="Times New Roman"/>
          <w:sz w:val="24"/>
          <w:szCs w:val="24"/>
        </w:rPr>
        <w:t xml:space="preserve">other </w:t>
      </w:r>
      <w:r w:rsidR="00D3702D">
        <w:rPr>
          <w:rFonts w:cs="Times New Roman"/>
          <w:sz w:val="24"/>
          <w:szCs w:val="24"/>
        </w:rPr>
        <w:t>groups of students</w:t>
      </w:r>
      <w:r w:rsidR="00A106A2">
        <w:rPr>
          <w:rFonts w:cs="Times New Roman"/>
          <w:sz w:val="24"/>
          <w:szCs w:val="24"/>
        </w:rPr>
        <w:t xml:space="preserve"> throughout the country at the secondary level over the relevant period, </w:t>
      </w:r>
      <w:r w:rsidR="00D3702D">
        <w:rPr>
          <w:rFonts w:cs="Times New Roman"/>
          <w:sz w:val="24"/>
          <w:szCs w:val="24"/>
        </w:rPr>
        <w:t>it is tempting to attribute at least some of the improvement in Tower Hamlets to its Asian residents.</w:t>
      </w:r>
      <w:r w:rsidR="00D50478">
        <w:rPr>
          <w:rStyle w:val="FootnoteReference"/>
          <w:rFonts w:cs="Times New Roman"/>
          <w:sz w:val="24"/>
          <w:szCs w:val="24"/>
        </w:rPr>
        <w:footnoteReference w:id="10"/>
      </w:r>
      <w:r w:rsidR="00D3702D">
        <w:rPr>
          <w:rFonts w:cs="Times New Roman"/>
          <w:sz w:val="24"/>
          <w:szCs w:val="24"/>
        </w:rPr>
        <w:t xml:space="preserve"> </w:t>
      </w:r>
    </w:p>
    <w:p w14:paraId="171E9286" w14:textId="77777777" w:rsidR="00D50478" w:rsidRDefault="00D50478" w:rsidP="00C80ECE">
      <w:pPr>
        <w:contextualSpacing/>
        <w:rPr>
          <w:rFonts w:cs="Times New Roman"/>
          <w:sz w:val="24"/>
          <w:szCs w:val="24"/>
        </w:rPr>
      </w:pPr>
    </w:p>
    <w:p w14:paraId="0AE7CEF0" w14:textId="24E39C67" w:rsidR="00C6672F" w:rsidRDefault="002531C6" w:rsidP="00C80ECE">
      <w:pPr>
        <w:contextualSpacing/>
        <w:rPr>
          <w:rFonts w:cs="Times New Roman"/>
          <w:sz w:val="24"/>
          <w:szCs w:val="24"/>
        </w:rPr>
      </w:pPr>
      <w:r>
        <w:rPr>
          <w:rFonts w:cs="Times New Roman"/>
          <w:sz w:val="24"/>
          <w:szCs w:val="24"/>
        </w:rPr>
        <w:t>Hackney, too</w:t>
      </w:r>
      <w:r w:rsidR="009E2EB4">
        <w:rPr>
          <w:rFonts w:cs="Times New Roman"/>
          <w:sz w:val="24"/>
          <w:szCs w:val="24"/>
        </w:rPr>
        <w:t>,</w:t>
      </w:r>
      <w:r>
        <w:rPr>
          <w:rFonts w:cs="Times New Roman"/>
          <w:sz w:val="24"/>
          <w:szCs w:val="24"/>
        </w:rPr>
        <w:t xml:space="preserve"> has been growing, but somewhat less rapidly than Tower Hamlets. </w:t>
      </w:r>
      <w:r w:rsidR="00642663">
        <w:rPr>
          <w:rFonts w:cs="Times New Roman"/>
          <w:sz w:val="24"/>
          <w:szCs w:val="24"/>
        </w:rPr>
        <w:t xml:space="preserve">Its population increased </w:t>
      </w:r>
      <w:r w:rsidR="00BD0208">
        <w:rPr>
          <w:rFonts w:cs="Times New Roman"/>
          <w:sz w:val="24"/>
          <w:szCs w:val="24"/>
        </w:rPr>
        <w:t xml:space="preserve">by 21 percent, </w:t>
      </w:r>
      <w:r w:rsidR="009E2EB4">
        <w:rPr>
          <w:rFonts w:cs="Times New Roman"/>
          <w:sz w:val="24"/>
          <w:szCs w:val="24"/>
        </w:rPr>
        <w:t>from 202,800 in 20</w:t>
      </w:r>
      <w:r w:rsidR="00012D17">
        <w:rPr>
          <w:rFonts w:cs="Times New Roman"/>
          <w:sz w:val="24"/>
          <w:szCs w:val="24"/>
        </w:rPr>
        <w:t>0</w:t>
      </w:r>
      <w:r w:rsidR="00642663">
        <w:rPr>
          <w:rFonts w:cs="Times New Roman"/>
          <w:sz w:val="24"/>
          <w:szCs w:val="24"/>
        </w:rPr>
        <w:t>1 to 246,300</w:t>
      </w:r>
      <w:r w:rsidR="00012D17">
        <w:rPr>
          <w:rFonts w:cs="Times New Roman"/>
          <w:sz w:val="24"/>
          <w:szCs w:val="24"/>
        </w:rPr>
        <w:t xml:space="preserve"> in 2011</w:t>
      </w:r>
      <w:r w:rsidR="00BD0208">
        <w:rPr>
          <w:rFonts w:cs="Times New Roman"/>
          <w:sz w:val="24"/>
          <w:szCs w:val="24"/>
        </w:rPr>
        <w:t xml:space="preserve">. </w:t>
      </w:r>
      <w:r w:rsidR="00642663">
        <w:rPr>
          <w:rFonts w:cs="Times New Roman"/>
          <w:sz w:val="24"/>
          <w:szCs w:val="24"/>
        </w:rPr>
        <w:t xml:space="preserve"> Just over a third of the population is White British, with the rest made up of various other groups, the largest </w:t>
      </w:r>
      <w:r w:rsidR="006A7BBA">
        <w:rPr>
          <w:rFonts w:cs="Times New Roman"/>
          <w:sz w:val="24"/>
          <w:szCs w:val="24"/>
        </w:rPr>
        <w:t xml:space="preserve">ones </w:t>
      </w:r>
      <w:r w:rsidR="006A7BBA">
        <w:rPr>
          <w:rFonts w:cs="Times New Roman"/>
          <w:sz w:val="24"/>
          <w:szCs w:val="24"/>
        </w:rPr>
        <w:lastRenderedPageBreak/>
        <w:t>being</w:t>
      </w:r>
      <w:r w:rsidR="00642663">
        <w:rPr>
          <w:rFonts w:cs="Times New Roman"/>
          <w:sz w:val="24"/>
          <w:szCs w:val="24"/>
        </w:rPr>
        <w:t xml:space="preserve"> </w:t>
      </w:r>
      <w:r w:rsidR="00F15A4C">
        <w:rPr>
          <w:rFonts w:cs="Times New Roman"/>
          <w:sz w:val="24"/>
          <w:szCs w:val="24"/>
        </w:rPr>
        <w:t xml:space="preserve">White </w:t>
      </w:r>
      <w:r w:rsidR="00012D17">
        <w:rPr>
          <w:rFonts w:cs="Times New Roman"/>
          <w:sz w:val="24"/>
          <w:szCs w:val="24"/>
        </w:rPr>
        <w:t>non-</w:t>
      </w:r>
      <w:r w:rsidR="00642663">
        <w:rPr>
          <w:rFonts w:cs="Times New Roman"/>
          <w:sz w:val="24"/>
          <w:szCs w:val="24"/>
        </w:rPr>
        <w:t>Brit</w:t>
      </w:r>
      <w:r w:rsidR="002F493A">
        <w:rPr>
          <w:rFonts w:cs="Times New Roman"/>
          <w:sz w:val="24"/>
          <w:szCs w:val="24"/>
        </w:rPr>
        <w:t>i</w:t>
      </w:r>
      <w:r w:rsidR="00642663">
        <w:rPr>
          <w:rFonts w:cs="Times New Roman"/>
          <w:sz w:val="24"/>
          <w:szCs w:val="24"/>
        </w:rPr>
        <w:t xml:space="preserve">sh (6 %) </w:t>
      </w:r>
      <w:r w:rsidR="006A7BBA">
        <w:rPr>
          <w:rFonts w:cs="Times New Roman"/>
          <w:sz w:val="24"/>
          <w:szCs w:val="24"/>
        </w:rPr>
        <w:t>(</w:t>
      </w:r>
      <w:r w:rsidR="00642663">
        <w:rPr>
          <w:rFonts w:cs="Times New Roman"/>
          <w:sz w:val="24"/>
          <w:szCs w:val="24"/>
        </w:rPr>
        <w:t>which includes Turks and Kurds</w:t>
      </w:r>
      <w:r w:rsidR="006A7BBA">
        <w:rPr>
          <w:rFonts w:cs="Times New Roman"/>
          <w:sz w:val="24"/>
          <w:szCs w:val="24"/>
        </w:rPr>
        <w:t>)</w:t>
      </w:r>
      <w:r w:rsidR="00012D17">
        <w:rPr>
          <w:rFonts w:cs="Times New Roman"/>
          <w:sz w:val="24"/>
          <w:szCs w:val="24"/>
        </w:rPr>
        <w:t xml:space="preserve"> </w:t>
      </w:r>
      <w:r w:rsidR="00642663">
        <w:rPr>
          <w:rFonts w:cs="Times New Roman"/>
          <w:sz w:val="24"/>
          <w:szCs w:val="24"/>
        </w:rPr>
        <w:t>and Black Africans</w:t>
      </w:r>
      <w:r w:rsidR="00DB540A">
        <w:rPr>
          <w:rFonts w:cs="Times New Roman"/>
          <w:sz w:val="24"/>
          <w:szCs w:val="24"/>
        </w:rPr>
        <w:t xml:space="preserve"> (11</w:t>
      </w:r>
      <w:r w:rsidR="00F15A4C">
        <w:rPr>
          <w:rFonts w:cs="Times New Roman"/>
          <w:sz w:val="24"/>
          <w:szCs w:val="24"/>
        </w:rPr>
        <w:t>%</w:t>
      </w:r>
      <w:r w:rsidR="00012D17">
        <w:rPr>
          <w:rFonts w:cs="Times New Roman"/>
          <w:sz w:val="24"/>
          <w:szCs w:val="24"/>
        </w:rPr>
        <w:t>)</w:t>
      </w:r>
      <w:r w:rsidR="00642663">
        <w:rPr>
          <w:rFonts w:cs="Times New Roman"/>
          <w:sz w:val="24"/>
          <w:szCs w:val="24"/>
        </w:rPr>
        <w:t xml:space="preserve">. The proportion of Black Caribbean </w:t>
      </w:r>
      <w:r w:rsidR="00BD0208">
        <w:rPr>
          <w:rFonts w:cs="Times New Roman"/>
          <w:sz w:val="24"/>
          <w:szCs w:val="24"/>
        </w:rPr>
        <w:t xml:space="preserve">residents </w:t>
      </w:r>
      <w:r w:rsidR="00642663">
        <w:rPr>
          <w:rFonts w:cs="Times New Roman"/>
          <w:sz w:val="24"/>
          <w:szCs w:val="24"/>
        </w:rPr>
        <w:t>fell slightly</w:t>
      </w:r>
      <w:r w:rsidR="00BD0208">
        <w:rPr>
          <w:rFonts w:cs="Times New Roman"/>
          <w:sz w:val="24"/>
          <w:szCs w:val="24"/>
        </w:rPr>
        <w:t>,</w:t>
      </w:r>
      <w:r w:rsidR="00642663">
        <w:rPr>
          <w:rFonts w:cs="Times New Roman"/>
          <w:sz w:val="24"/>
          <w:szCs w:val="24"/>
        </w:rPr>
        <w:t xml:space="preserve"> from 10 percent of the population in 2001 to 8 percent in in 2011.  </w:t>
      </w:r>
    </w:p>
    <w:p w14:paraId="79FA7FC3" w14:textId="77777777" w:rsidR="00D602C6" w:rsidRDefault="00D602C6" w:rsidP="00C80ECE">
      <w:pPr>
        <w:contextualSpacing/>
        <w:rPr>
          <w:rFonts w:cs="Times New Roman"/>
          <w:sz w:val="24"/>
          <w:szCs w:val="24"/>
        </w:rPr>
      </w:pPr>
    </w:p>
    <w:p w14:paraId="1A044CFC" w14:textId="6DF774E8" w:rsidR="00E92BA3" w:rsidRDefault="00F15A4C" w:rsidP="00C80ECE">
      <w:pPr>
        <w:contextualSpacing/>
        <w:rPr>
          <w:rFonts w:cs="Times New Roman"/>
          <w:sz w:val="24"/>
          <w:szCs w:val="24"/>
        </w:rPr>
      </w:pPr>
      <w:r>
        <w:rPr>
          <w:rFonts w:cs="Times New Roman"/>
          <w:sz w:val="24"/>
          <w:szCs w:val="24"/>
        </w:rPr>
        <w:t>A</w:t>
      </w:r>
      <w:r w:rsidR="006B4A1B">
        <w:rPr>
          <w:rFonts w:cs="Times New Roman"/>
          <w:sz w:val="24"/>
          <w:szCs w:val="24"/>
        </w:rPr>
        <w:t xml:space="preserve"> common i</w:t>
      </w:r>
      <w:r w:rsidR="00967C55">
        <w:rPr>
          <w:rFonts w:cs="Times New Roman"/>
          <w:sz w:val="24"/>
          <w:szCs w:val="24"/>
        </w:rPr>
        <w:t xml:space="preserve">ndicator </w:t>
      </w:r>
      <w:r w:rsidR="00C6672F">
        <w:rPr>
          <w:rFonts w:cs="Times New Roman"/>
          <w:sz w:val="24"/>
          <w:szCs w:val="24"/>
        </w:rPr>
        <w:t xml:space="preserve">for ethnic status as it relates to education is </w:t>
      </w:r>
      <w:r w:rsidR="00E92BA3">
        <w:rPr>
          <w:rFonts w:cs="Times New Roman"/>
          <w:sz w:val="24"/>
          <w:szCs w:val="24"/>
        </w:rPr>
        <w:t xml:space="preserve">whether or not </w:t>
      </w:r>
      <w:r w:rsidR="00012D17">
        <w:rPr>
          <w:rFonts w:cs="Times New Roman"/>
          <w:sz w:val="24"/>
          <w:szCs w:val="24"/>
        </w:rPr>
        <w:t xml:space="preserve">English is </w:t>
      </w:r>
      <w:r w:rsidR="00E92BA3">
        <w:rPr>
          <w:rFonts w:cs="Times New Roman"/>
          <w:sz w:val="24"/>
          <w:szCs w:val="24"/>
        </w:rPr>
        <w:t>the first language of a pupil</w:t>
      </w:r>
      <w:r w:rsidR="00012D17">
        <w:rPr>
          <w:rFonts w:cs="Times New Roman"/>
          <w:sz w:val="24"/>
          <w:szCs w:val="24"/>
        </w:rPr>
        <w:t>. Those with other mother tongues</w:t>
      </w:r>
      <w:r w:rsidR="00632E6E">
        <w:rPr>
          <w:rFonts w:cs="Times New Roman"/>
          <w:sz w:val="24"/>
          <w:szCs w:val="24"/>
        </w:rPr>
        <w:t xml:space="preserve"> </w:t>
      </w:r>
      <w:r w:rsidR="00012D17">
        <w:rPr>
          <w:rFonts w:cs="Times New Roman"/>
          <w:sz w:val="24"/>
          <w:szCs w:val="24"/>
        </w:rPr>
        <w:t xml:space="preserve">are often referred to as needing </w:t>
      </w:r>
      <w:r w:rsidR="00E92BA3">
        <w:rPr>
          <w:rFonts w:cs="Times New Roman"/>
          <w:sz w:val="24"/>
          <w:szCs w:val="24"/>
        </w:rPr>
        <w:t>English as an additional Language (EAL)</w:t>
      </w:r>
      <w:r w:rsidR="00C6672F">
        <w:rPr>
          <w:rFonts w:cs="Times New Roman"/>
          <w:sz w:val="24"/>
          <w:szCs w:val="24"/>
        </w:rPr>
        <w:t xml:space="preserve">. Table </w:t>
      </w:r>
      <w:r w:rsidR="00D50478">
        <w:rPr>
          <w:rFonts w:cs="Times New Roman"/>
          <w:sz w:val="24"/>
          <w:szCs w:val="24"/>
        </w:rPr>
        <w:t>2</w:t>
      </w:r>
      <w:r w:rsidR="00C6672F">
        <w:rPr>
          <w:rFonts w:cs="Times New Roman"/>
          <w:sz w:val="24"/>
          <w:szCs w:val="24"/>
        </w:rPr>
        <w:t xml:space="preserve"> documents patterns </w:t>
      </w:r>
      <w:r w:rsidR="00967C55">
        <w:rPr>
          <w:rFonts w:cs="Times New Roman"/>
          <w:sz w:val="24"/>
          <w:szCs w:val="24"/>
        </w:rPr>
        <w:t xml:space="preserve">in 2013 for primary school </w:t>
      </w:r>
      <w:r w:rsidR="006A7BBA">
        <w:rPr>
          <w:rFonts w:cs="Times New Roman"/>
          <w:sz w:val="24"/>
          <w:szCs w:val="24"/>
        </w:rPr>
        <w:t>pupils i</w:t>
      </w:r>
      <w:r w:rsidR="00E92BA3">
        <w:rPr>
          <w:rFonts w:cs="Times New Roman"/>
          <w:sz w:val="24"/>
          <w:szCs w:val="24"/>
        </w:rPr>
        <w:t xml:space="preserve">n </w:t>
      </w:r>
      <w:r w:rsidR="00967C55">
        <w:rPr>
          <w:rFonts w:cs="Times New Roman"/>
          <w:sz w:val="24"/>
          <w:szCs w:val="24"/>
        </w:rPr>
        <w:t xml:space="preserve">the two boroughs and </w:t>
      </w:r>
      <w:r w:rsidR="006A7BBA">
        <w:rPr>
          <w:rFonts w:cs="Times New Roman"/>
          <w:sz w:val="24"/>
          <w:szCs w:val="24"/>
        </w:rPr>
        <w:t xml:space="preserve">in </w:t>
      </w:r>
      <w:r w:rsidR="00967C55">
        <w:rPr>
          <w:rFonts w:cs="Times New Roman"/>
          <w:sz w:val="24"/>
          <w:szCs w:val="24"/>
        </w:rPr>
        <w:t>the nation. Tower Hamlets</w:t>
      </w:r>
      <w:r w:rsidR="00AE777A">
        <w:rPr>
          <w:rFonts w:cs="Times New Roman"/>
          <w:sz w:val="24"/>
          <w:szCs w:val="24"/>
        </w:rPr>
        <w:t>,</w:t>
      </w:r>
      <w:r w:rsidR="00BD0208">
        <w:rPr>
          <w:rFonts w:cs="Times New Roman"/>
          <w:sz w:val="24"/>
          <w:szCs w:val="24"/>
        </w:rPr>
        <w:t xml:space="preserve"> </w:t>
      </w:r>
      <w:r w:rsidR="00012D17">
        <w:rPr>
          <w:rFonts w:cs="Times New Roman"/>
          <w:sz w:val="24"/>
          <w:szCs w:val="24"/>
        </w:rPr>
        <w:t xml:space="preserve">with </w:t>
      </w:r>
      <w:r w:rsidR="00E323AC">
        <w:rPr>
          <w:rFonts w:cs="Times New Roman"/>
          <w:sz w:val="24"/>
          <w:szCs w:val="24"/>
        </w:rPr>
        <w:t xml:space="preserve">79 </w:t>
      </w:r>
      <w:r w:rsidR="00012D17">
        <w:rPr>
          <w:rFonts w:cs="Times New Roman"/>
          <w:sz w:val="24"/>
          <w:szCs w:val="24"/>
        </w:rPr>
        <w:t>percent</w:t>
      </w:r>
      <w:r w:rsidR="00AE777A">
        <w:rPr>
          <w:rFonts w:cs="Times New Roman"/>
          <w:sz w:val="24"/>
          <w:szCs w:val="24"/>
        </w:rPr>
        <w:t>,</w:t>
      </w:r>
      <w:r w:rsidR="00967C55">
        <w:rPr>
          <w:rFonts w:cs="Times New Roman"/>
          <w:sz w:val="24"/>
          <w:szCs w:val="24"/>
        </w:rPr>
        <w:t xml:space="preserve"> has the highe</w:t>
      </w:r>
      <w:r w:rsidR="00E92BA3">
        <w:rPr>
          <w:rFonts w:cs="Times New Roman"/>
          <w:sz w:val="24"/>
          <w:szCs w:val="24"/>
        </w:rPr>
        <w:t xml:space="preserve">st share of EAL students, followed by Hackney with </w:t>
      </w:r>
      <w:r w:rsidR="00E323AC">
        <w:rPr>
          <w:rFonts w:cs="Times New Roman"/>
          <w:sz w:val="24"/>
          <w:szCs w:val="24"/>
        </w:rPr>
        <w:t xml:space="preserve">55 </w:t>
      </w:r>
      <w:r w:rsidR="00E92BA3">
        <w:rPr>
          <w:rFonts w:cs="Times New Roman"/>
          <w:sz w:val="24"/>
          <w:szCs w:val="24"/>
        </w:rPr>
        <w:t>percent, and the nation far below at 1</w:t>
      </w:r>
      <w:r w:rsidR="00E323AC">
        <w:rPr>
          <w:rFonts w:cs="Times New Roman"/>
          <w:sz w:val="24"/>
          <w:szCs w:val="24"/>
        </w:rPr>
        <w:t>7</w:t>
      </w:r>
      <w:r w:rsidR="00E92BA3">
        <w:rPr>
          <w:rFonts w:cs="Times New Roman"/>
          <w:sz w:val="24"/>
          <w:szCs w:val="24"/>
        </w:rPr>
        <w:t xml:space="preserve"> percent. With respect to student attainment, </w:t>
      </w:r>
      <w:r w:rsidR="006B4A1B" w:rsidRPr="00DB4FAD">
        <w:rPr>
          <w:rFonts w:cs="Times New Roman"/>
          <w:sz w:val="24"/>
          <w:szCs w:val="24"/>
        </w:rPr>
        <w:t xml:space="preserve">as measured by </w:t>
      </w:r>
      <w:r w:rsidR="00DB4FAD">
        <w:rPr>
          <w:rFonts w:cs="Times New Roman"/>
          <w:sz w:val="24"/>
          <w:szCs w:val="24"/>
        </w:rPr>
        <w:t xml:space="preserve">achievement of </w:t>
      </w:r>
      <w:r w:rsidR="00E323AC" w:rsidRPr="00DB4FAD">
        <w:rPr>
          <w:rFonts w:cs="Times New Roman"/>
          <w:sz w:val="24"/>
          <w:szCs w:val="24"/>
        </w:rPr>
        <w:t xml:space="preserve">level </w:t>
      </w:r>
      <w:r w:rsidR="004D41FC" w:rsidRPr="00DB4FAD">
        <w:rPr>
          <w:rFonts w:cs="Times New Roman"/>
          <w:sz w:val="24"/>
          <w:szCs w:val="24"/>
        </w:rPr>
        <w:t>4</w:t>
      </w:r>
      <w:r w:rsidR="00E323AC" w:rsidRPr="00DB4FAD">
        <w:rPr>
          <w:rFonts w:cs="Times New Roman"/>
          <w:sz w:val="24"/>
          <w:szCs w:val="24"/>
        </w:rPr>
        <w:t xml:space="preserve"> or above in reading, writing and mathematics </w:t>
      </w:r>
      <w:r w:rsidR="00DB4FAD">
        <w:rPr>
          <w:rFonts w:cs="Times New Roman"/>
          <w:sz w:val="24"/>
          <w:szCs w:val="24"/>
        </w:rPr>
        <w:t xml:space="preserve">on the Key Stage 2 tests, </w:t>
      </w:r>
      <w:r w:rsidR="00E92BA3">
        <w:rPr>
          <w:rFonts w:cs="Times New Roman"/>
          <w:sz w:val="24"/>
          <w:szCs w:val="24"/>
        </w:rPr>
        <w:t>the EAL students in both boroughs do slightly better than the non</w:t>
      </w:r>
      <w:r>
        <w:rPr>
          <w:rFonts w:cs="Times New Roman"/>
          <w:sz w:val="24"/>
          <w:szCs w:val="24"/>
        </w:rPr>
        <w:t>-</w:t>
      </w:r>
      <w:r w:rsidR="00E92BA3">
        <w:rPr>
          <w:rFonts w:cs="Times New Roman"/>
          <w:sz w:val="24"/>
          <w:szCs w:val="24"/>
        </w:rPr>
        <w:t xml:space="preserve">EAL students, and also substantially better than the national average for EAL </w:t>
      </w:r>
      <w:r w:rsidR="00F61B0F">
        <w:rPr>
          <w:rFonts w:cs="Times New Roman"/>
          <w:sz w:val="24"/>
          <w:szCs w:val="24"/>
        </w:rPr>
        <w:t>pupils</w:t>
      </w:r>
      <w:r w:rsidR="00E92BA3">
        <w:rPr>
          <w:rFonts w:cs="Times New Roman"/>
          <w:sz w:val="24"/>
          <w:szCs w:val="24"/>
        </w:rPr>
        <w:t>. Thus, while the attainment of EAL students in the nation fall</w:t>
      </w:r>
      <w:r w:rsidR="00B514A1">
        <w:rPr>
          <w:rFonts w:cs="Times New Roman"/>
          <w:sz w:val="24"/>
          <w:szCs w:val="24"/>
        </w:rPr>
        <w:t>s</w:t>
      </w:r>
      <w:r w:rsidR="00E92BA3">
        <w:rPr>
          <w:rFonts w:cs="Times New Roman"/>
          <w:sz w:val="24"/>
          <w:szCs w:val="24"/>
        </w:rPr>
        <w:t xml:space="preserve"> short of the</w:t>
      </w:r>
      <w:r w:rsidR="00012D17">
        <w:rPr>
          <w:rFonts w:cs="Times New Roman"/>
          <w:sz w:val="24"/>
          <w:szCs w:val="24"/>
        </w:rPr>
        <w:t>ir English-</w:t>
      </w:r>
      <w:r w:rsidR="00241BBF">
        <w:rPr>
          <w:rFonts w:cs="Times New Roman"/>
          <w:sz w:val="24"/>
          <w:szCs w:val="24"/>
        </w:rPr>
        <w:t>speaking counterparts</w:t>
      </w:r>
      <w:r w:rsidR="00573F9B">
        <w:rPr>
          <w:rFonts w:cs="Times New Roman"/>
          <w:sz w:val="24"/>
          <w:szCs w:val="24"/>
        </w:rPr>
        <w:t xml:space="preserve">, that </w:t>
      </w:r>
      <w:r w:rsidR="00E92BA3">
        <w:rPr>
          <w:rFonts w:cs="Times New Roman"/>
          <w:sz w:val="24"/>
          <w:szCs w:val="24"/>
        </w:rPr>
        <w:t>is not the case in the two London boroughs</w:t>
      </w:r>
      <w:r w:rsidR="00012D17">
        <w:rPr>
          <w:rFonts w:cs="Times New Roman"/>
          <w:sz w:val="24"/>
          <w:szCs w:val="24"/>
        </w:rPr>
        <w:t xml:space="preserve"> in our study</w:t>
      </w:r>
      <w:r w:rsidR="00E92BA3">
        <w:rPr>
          <w:rFonts w:cs="Times New Roman"/>
          <w:sz w:val="24"/>
          <w:szCs w:val="24"/>
        </w:rPr>
        <w:t xml:space="preserve">. </w:t>
      </w:r>
      <w:r w:rsidR="00AE777A">
        <w:rPr>
          <w:rFonts w:cs="Times New Roman"/>
          <w:sz w:val="24"/>
          <w:szCs w:val="24"/>
        </w:rPr>
        <w:t>Such patterns might well lead on</w:t>
      </w:r>
      <w:r w:rsidR="00E323AC">
        <w:rPr>
          <w:rFonts w:cs="Times New Roman"/>
          <w:sz w:val="24"/>
          <w:szCs w:val="24"/>
        </w:rPr>
        <w:t>e to argue that the ethnic mix</w:t>
      </w:r>
      <w:r w:rsidR="00FC7499">
        <w:rPr>
          <w:rFonts w:cs="Times New Roman"/>
          <w:sz w:val="24"/>
          <w:szCs w:val="24"/>
        </w:rPr>
        <w:t xml:space="preserve"> in</w:t>
      </w:r>
      <w:r w:rsidR="00E323AC">
        <w:rPr>
          <w:rFonts w:cs="Times New Roman"/>
          <w:sz w:val="24"/>
          <w:szCs w:val="24"/>
        </w:rPr>
        <w:t xml:space="preserve"> </w:t>
      </w:r>
      <w:r w:rsidR="00AE777A">
        <w:rPr>
          <w:rFonts w:cs="Times New Roman"/>
          <w:sz w:val="24"/>
          <w:szCs w:val="24"/>
        </w:rPr>
        <w:t>the two boroughs helps to account for the</w:t>
      </w:r>
      <w:r w:rsidR="00F61B0F">
        <w:rPr>
          <w:rFonts w:cs="Times New Roman"/>
          <w:sz w:val="24"/>
          <w:szCs w:val="24"/>
        </w:rPr>
        <w:t>ir</w:t>
      </w:r>
      <w:r w:rsidR="00AE777A">
        <w:rPr>
          <w:rFonts w:cs="Times New Roman"/>
          <w:sz w:val="24"/>
          <w:szCs w:val="24"/>
        </w:rPr>
        <w:t xml:space="preserve"> current high achievement levels</w:t>
      </w:r>
      <w:r w:rsidR="00F61B0F">
        <w:rPr>
          <w:rFonts w:cs="Times New Roman"/>
          <w:sz w:val="24"/>
          <w:szCs w:val="24"/>
        </w:rPr>
        <w:t xml:space="preserve">. </w:t>
      </w:r>
      <w:r w:rsidR="00AE777A">
        <w:rPr>
          <w:rFonts w:cs="Times New Roman"/>
          <w:sz w:val="24"/>
          <w:szCs w:val="24"/>
        </w:rPr>
        <w:t xml:space="preserve"> </w:t>
      </w:r>
    </w:p>
    <w:p w14:paraId="320A1DD0" w14:textId="77777777" w:rsidR="00B50703" w:rsidRDefault="00B50703" w:rsidP="00C80ECE">
      <w:pPr>
        <w:contextualSpacing/>
        <w:rPr>
          <w:rFonts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83795" w14:paraId="66DE7AD7" w14:textId="77777777" w:rsidTr="00A87FDC">
        <w:tc>
          <w:tcPr>
            <w:tcW w:w="9350" w:type="dxa"/>
            <w:gridSpan w:val="4"/>
          </w:tcPr>
          <w:p w14:paraId="49268C3A" w14:textId="77777777" w:rsidR="00383795" w:rsidRDefault="00383795" w:rsidP="003F138A">
            <w:pPr>
              <w:contextualSpacing/>
              <w:rPr>
                <w:rFonts w:cs="Times New Roman"/>
                <w:sz w:val="24"/>
                <w:szCs w:val="24"/>
              </w:rPr>
            </w:pPr>
            <w:r>
              <w:rPr>
                <w:rFonts w:cs="Times New Roman"/>
                <w:sz w:val="24"/>
                <w:szCs w:val="24"/>
              </w:rPr>
              <w:t>Table 2. Performance by EAL status, 2013</w:t>
            </w:r>
          </w:p>
        </w:tc>
      </w:tr>
      <w:tr w:rsidR="00967C55" w14:paraId="449BC2FF" w14:textId="77777777" w:rsidTr="003F138A">
        <w:tc>
          <w:tcPr>
            <w:tcW w:w="2337" w:type="dxa"/>
          </w:tcPr>
          <w:p w14:paraId="001B67EB" w14:textId="77777777" w:rsidR="00967C55" w:rsidRDefault="00967C55" w:rsidP="003F138A">
            <w:pPr>
              <w:contextualSpacing/>
              <w:rPr>
                <w:rFonts w:cs="Times New Roman"/>
                <w:sz w:val="24"/>
                <w:szCs w:val="24"/>
              </w:rPr>
            </w:pPr>
          </w:p>
        </w:tc>
        <w:tc>
          <w:tcPr>
            <w:tcW w:w="2337" w:type="dxa"/>
          </w:tcPr>
          <w:p w14:paraId="366E65BC" w14:textId="77777777" w:rsidR="00967C55" w:rsidRDefault="00967C55" w:rsidP="003F138A">
            <w:pPr>
              <w:contextualSpacing/>
              <w:rPr>
                <w:rFonts w:cs="Times New Roman"/>
                <w:sz w:val="24"/>
                <w:szCs w:val="24"/>
              </w:rPr>
            </w:pPr>
            <w:r>
              <w:rPr>
                <w:rFonts w:cs="Times New Roman"/>
                <w:sz w:val="24"/>
                <w:szCs w:val="24"/>
              </w:rPr>
              <w:t>Hackney</w:t>
            </w:r>
          </w:p>
        </w:tc>
        <w:tc>
          <w:tcPr>
            <w:tcW w:w="2338" w:type="dxa"/>
          </w:tcPr>
          <w:p w14:paraId="44419C17" w14:textId="77777777" w:rsidR="00967C55" w:rsidRDefault="00967C55" w:rsidP="003F138A">
            <w:pPr>
              <w:contextualSpacing/>
              <w:rPr>
                <w:rFonts w:cs="Times New Roman"/>
                <w:sz w:val="24"/>
                <w:szCs w:val="24"/>
              </w:rPr>
            </w:pPr>
            <w:r>
              <w:rPr>
                <w:rFonts w:cs="Times New Roman"/>
                <w:sz w:val="24"/>
                <w:szCs w:val="24"/>
              </w:rPr>
              <w:t>Tower Hamlets</w:t>
            </w:r>
          </w:p>
        </w:tc>
        <w:tc>
          <w:tcPr>
            <w:tcW w:w="2338" w:type="dxa"/>
          </w:tcPr>
          <w:p w14:paraId="240DE876" w14:textId="77777777" w:rsidR="00967C55" w:rsidRDefault="00967C55" w:rsidP="003F138A">
            <w:pPr>
              <w:contextualSpacing/>
              <w:rPr>
                <w:rFonts w:cs="Times New Roman"/>
                <w:sz w:val="24"/>
                <w:szCs w:val="24"/>
              </w:rPr>
            </w:pPr>
            <w:r>
              <w:rPr>
                <w:rFonts w:cs="Times New Roman"/>
                <w:sz w:val="24"/>
                <w:szCs w:val="24"/>
              </w:rPr>
              <w:t>Nation</w:t>
            </w:r>
          </w:p>
        </w:tc>
      </w:tr>
      <w:tr w:rsidR="00967C55" w14:paraId="5DCD44B1" w14:textId="77777777" w:rsidTr="003F138A">
        <w:tc>
          <w:tcPr>
            <w:tcW w:w="2337" w:type="dxa"/>
          </w:tcPr>
          <w:p w14:paraId="26947918" w14:textId="77777777" w:rsidR="00967C55" w:rsidRDefault="00967C55" w:rsidP="00967C55">
            <w:pPr>
              <w:contextualSpacing/>
              <w:rPr>
                <w:rFonts w:cs="Times New Roman"/>
                <w:sz w:val="24"/>
                <w:szCs w:val="24"/>
              </w:rPr>
            </w:pPr>
            <w:r>
              <w:rPr>
                <w:rFonts w:cs="Times New Roman"/>
                <w:sz w:val="24"/>
                <w:szCs w:val="24"/>
              </w:rPr>
              <w:t xml:space="preserve">% pupils whose first language is not English </w:t>
            </w:r>
            <w:r w:rsidR="00E92BA3">
              <w:rPr>
                <w:rFonts w:cs="Times New Roman"/>
                <w:sz w:val="24"/>
                <w:szCs w:val="24"/>
              </w:rPr>
              <w:t xml:space="preserve">(EAL pupils) </w:t>
            </w:r>
          </w:p>
        </w:tc>
        <w:tc>
          <w:tcPr>
            <w:tcW w:w="2337" w:type="dxa"/>
          </w:tcPr>
          <w:p w14:paraId="28F659FF" w14:textId="77777777" w:rsidR="00967C55" w:rsidRDefault="00E323AC" w:rsidP="00967C55">
            <w:pPr>
              <w:contextualSpacing/>
              <w:rPr>
                <w:rFonts w:cs="Times New Roman"/>
                <w:sz w:val="24"/>
                <w:szCs w:val="24"/>
              </w:rPr>
            </w:pPr>
            <w:r>
              <w:rPr>
                <w:rFonts w:cs="Times New Roman"/>
                <w:sz w:val="24"/>
                <w:szCs w:val="24"/>
              </w:rPr>
              <w:t>55</w:t>
            </w:r>
          </w:p>
        </w:tc>
        <w:tc>
          <w:tcPr>
            <w:tcW w:w="2338" w:type="dxa"/>
          </w:tcPr>
          <w:p w14:paraId="0DE76208" w14:textId="77777777" w:rsidR="00967C55" w:rsidRDefault="00E323AC" w:rsidP="003F138A">
            <w:pPr>
              <w:contextualSpacing/>
              <w:rPr>
                <w:rFonts w:cs="Times New Roman"/>
                <w:sz w:val="24"/>
                <w:szCs w:val="24"/>
              </w:rPr>
            </w:pPr>
            <w:r>
              <w:rPr>
                <w:rFonts w:cs="Times New Roman"/>
                <w:sz w:val="24"/>
                <w:szCs w:val="24"/>
              </w:rPr>
              <w:t>79</w:t>
            </w:r>
          </w:p>
        </w:tc>
        <w:tc>
          <w:tcPr>
            <w:tcW w:w="2338" w:type="dxa"/>
          </w:tcPr>
          <w:p w14:paraId="00A890F2" w14:textId="77777777" w:rsidR="00967C55" w:rsidRDefault="00E323AC" w:rsidP="00E323AC">
            <w:pPr>
              <w:contextualSpacing/>
              <w:rPr>
                <w:rFonts w:cs="Times New Roman"/>
                <w:sz w:val="24"/>
                <w:szCs w:val="24"/>
              </w:rPr>
            </w:pPr>
            <w:r>
              <w:rPr>
                <w:rFonts w:cs="Times New Roman"/>
                <w:sz w:val="24"/>
                <w:szCs w:val="24"/>
              </w:rPr>
              <w:t>17</w:t>
            </w:r>
          </w:p>
        </w:tc>
      </w:tr>
      <w:tr w:rsidR="00967C55" w14:paraId="290702FA" w14:textId="77777777" w:rsidTr="003F138A">
        <w:tc>
          <w:tcPr>
            <w:tcW w:w="2337" w:type="dxa"/>
          </w:tcPr>
          <w:p w14:paraId="26D11DA9" w14:textId="77777777" w:rsidR="00967C55" w:rsidRDefault="00967C55" w:rsidP="00E92BA3">
            <w:pPr>
              <w:contextualSpacing/>
              <w:rPr>
                <w:rFonts w:cs="Times New Roman"/>
                <w:sz w:val="24"/>
                <w:szCs w:val="24"/>
              </w:rPr>
            </w:pPr>
            <w:r>
              <w:rPr>
                <w:rFonts w:cs="Times New Roman"/>
                <w:sz w:val="24"/>
                <w:szCs w:val="24"/>
              </w:rPr>
              <w:t xml:space="preserve">% of </w:t>
            </w:r>
            <w:r w:rsidR="006B4A1B">
              <w:rPr>
                <w:rFonts w:cs="Times New Roman"/>
                <w:sz w:val="24"/>
                <w:szCs w:val="24"/>
              </w:rPr>
              <w:t>EAL pupils meeting the standard</w:t>
            </w:r>
          </w:p>
        </w:tc>
        <w:tc>
          <w:tcPr>
            <w:tcW w:w="2337" w:type="dxa"/>
          </w:tcPr>
          <w:p w14:paraId="3F6B95CA" w14:textId="77777777" w:rsidR="00967C55" w:rsidRDefault="00967C55" w:rsidP="00967C55">
            <w:pPr>
              <w:contextualSpacing/>
              <w:rPr>
                <w:rFonts w:cs="Times New Roman"/>
                <w:sz w:val="24"/>
                <w:szCs w:val="24"/>
              </w:rPr>
            </w:pPr>
            <w:r>
              <w:rPr>
                <w:rFonts w:cs="Times New Roman"/>
                <w:sz w:val="24"/>
                <w:szCs w:val="24"/>
              </w:rPr>
              <w:t>82</w:t>
            </w:r>
          </w:p>
        </w:tc>
        <w:tc>
          <w:tcPr>
            <w:tcW w:w="2338" w:type="dxa"/>
          </w:tcPr>
          <w:p w14:paraId="1D5E4578" w14:textId="77777777" w:rsidR="00967C55" w:rsidRDefault="00967C55" w:rsidP="00967C55">
            <w:pPr>
              <w:contextualSpacing/>
              <w:rPr>
                <w:rFonts w:cs="Times New Roman"/>
                <w:sz w:val="24"/>
                <w:szCs w:val="24"/>
              </w:rPr>
            </w:pPr>
            <w:r>
              <w:rPr>
                <w:rFonts w:cs="Times New Roman"/>
                <w:sz w:val="24"/>
                <w:szCs w:val="24"/>
              </w:rPr>
              <w:t>79</w:t>
            </w:r>
          </w:p>
        </w:tc>
        <w:tc>
          <w:tcPr>
            <w:tcW w:w="2338" w:type="dxa"/>
          </w:tcPr>
          <w:p w14:paraId="449BD353" w14:textId="77777777" w:rsidR="00967C55" w:rsidRDefault="00967C55" w:rsidP="00967C55">
            <w:pPr>
              <w:contextualSpacing/>
              <w:rPr>
                <w:rFonts w:cs="Times New Roman"/>
                <w:sz w:val="24"/>
                <w:szCs w:val="24"/>
              </w:rPr>
            </w:pPr>
            <w:r>
              <w:rPr>
                <w:rFonts w:cs="Times New Roman"/>
                <w:sz w:val="24"/>
                <w:szCs w:val="24"/>
              </w:rPr>
              <w:t>73</w:t>
            </w:r>
          </w:p>
        </w:tc>
      </w:tr>
      <w:tr w:rsidR="00967C55" w14:paraId="1C4651B4" w14:textId="77777777" w:rsidTr="003F138A">
        <w:tc>
          <w:tcPr>
            <w:tcW w:w="2337" w:type="dxa"/>
          </w:tcPr>
          <w:p w14:paraId="0D09F2E9" w14:textId="77777777" w:rsidR="00967C55" w:rsidRDefault="00967C55" w:rsidP="00E92BA3">
            <w:pPr>
              <w:contextualSpacing/>
              <w:rPr>
                <w:rFonts w:cs="Times New Roman"/>
                <w:sz w:val="24"/>
                <w:szCs w:val="24"/>
              </w:rPr>
            </w:pPr>
            <w:r>
              <w:rPr>
                <w:rFonts w:cs="Times New Roman"/>
                <w:sz w:val="24"/>
                <w:szCs w:val="24"/>
              </w:rPr>
              <w:t xml:space="preserve">% of </w:t>
            </w:r>
            <w:r w:rsidR="00E92BA3">
              <w:rPr>
                <w:rFonts w:cs="Times New Roman"/>
                <w:sz w:val="24"/>
                <w:szCs w:val="24"/>
              </w:rPr>
              <w:t xml:space="preserve">non EAL </w:t>
            </w:r>
            <w:r>
              <w:rPr>
                <w:rFonts w:cs="Times New Roman"/>
                <w:sz w:val="24"/>
                <w:szCs w:val="24"/>
              </w:rPr>
              <w:t xml:space="preserve">pupils meeting </w:t>
            </w:r>
            <w:r w:rsidR="00E92BA3">
              <w:rPr>
                <w:rFonts w:cs="Times New Roman"/>
                <w:sz w:val="24"/>
                <w:szCs w:val="24"/>
              </w:rPr>
              <w:t xml:space="preserve">the standard </w:t>
            </w:r>
            <w:r>
              <w:rPr>
                <w:rFonts w:cs="Times New Roman"/>
                <w:sz w:val="24"/>
                <w:szCs w:val="24"/>
              </w:rPr>
              <w:t xml:space="preserve"> </w:t>
            </w:r>
          </w:p>
        </w:tc>
        <w:tc>
          <w:tcPr>
            <w:tcW w:w="2337" w:type="dxa"/>
          </w:tcPr>
          <w:p w14:paraId="51B89010" w14:textId="77777777" w:rsidR="00967C55" w:rsidRDefault="00967C55" w:rsidP="00967C55">
            <w:pPr>
              <w:contextualSpacing/>
              <w:rPr>
                <w:rFonts w:cs="Times New Roman"/>
                <w:sz w:val="24"/>
                <w:szCs w:val="24"/>
              </w:rPr>
            </w:pPr>
            <w:r>
              <w:rPr>
                <w:rFonts w:cs="Times New Roman"/>
                <w:sz w:val="24"/>
                <w:szCs w:val="24"/>
              </w:rPr>
              <w:t>81</w:t>
            </w:r>
          </w:p>
        </w:tc>
        <w:tc>
          <w:tcPr>
            <w:tcW w:w="2338" w:type="dxa"/>
          </w:tcPr>
          <w:p w14:paraId="307B913A" w14:textId="77777777" w:rsidR="00967C55" w:rsidRDefault="00967C55" w:rsidP="003F138A">
            <w:pPr>
              <w:contextualSpacing/>
              <w:rPr>
                <w:rFonts w:cs="Times New Roman"/>
                <w:sz w:val="24"/>
                <w:szCs w:val="24"/>
              </w:rPr>
            </w:pPr>
            <w:r>
              <w:rPr>
                <w:rFonts w:cs="Times New Roman"/>
                <w:sz w:val="24"/>
                <w:szCs w:val="24"/>
              </w:rPr>
              <w:t>78</w:t>
            </w:r>
          </w:p>
        </w:tc>
        <w:tc>
          <w:tcPr>
            <w:tcW w:w="2338" w:type="dxa"/>
          </w:tcPr>
          <w:p w14:paraId="0F7F28A1" w14:textId="77777777" w:rsidR="00967C55" w:rsidRDefault="00967C55" w:rsidP="00967C55">
            <w:pPr>
              <w:contextualSpacing/>
              <w:rPr>
                <w:rFonts w:cs="Times New Roman"/>
                <w:sz w:val="24"/>
                <w:szCs w:val="24"/>
              </w:rPr>
            </w:pPr>
            <w:r>
              <w:rPr>
                <w:rFonts w:cs="Times New Roman"/>
                <w:sz w:val="24"/>
                <w:szCs w:val="24"/>
              </w:rPr>
              <w:t xml:space="preserve">76 </w:t>
            </w:r>
          </w:p>
        </w:tc>
      </w:tr>
      <w:tr w:rsidR="00967C55" w14:paraId="3030AEA4" w14:textId="77777777" w:rsidTr="003F138A">
        <w:tc>
          <w:tcPr>
            <w:tcW w:w="2337" w:type="dxa"/>
          </w:tcPr>
          <w:p w14:paraId="50B9161F" w14:textId="77777777" w:rsidR="00967C55" w:rsidRDefault="00967C55" w:rsidP="00B07025">
            <w:pPr>
              <w:contextualSpacing/>
              <w:rPr>
                <w:rFonts w:cs="Times New Roman"/>
                <w:sz w:val="24"/>
                <w:szCs w:val="24"/>
              </w:rPr>
            </w:pPr>
            <w:r>
              <w:rPr>
                <w:rFonts w:cs="Times New Roman"/>
                <w:sz w:val="24"/>
                <w:szCs w:val="24"/>
              </w:rPr>
              <w:t>Gap (Eng.</w:t>
            </w:r>
            <w:r w:rsidR="00B07025">
              <w:rPr>
                <w:rFonts w:cs="Times New Roman"/>
                <w:sz w:val="24"/>
                <w:szCs w:val="24"/>
              </w:rPr>
              <w:t xml:space="preserve"> -</w:t>
            </w:r>
            <w:r>
              <w:rPr>
                <w:rFonts w:cs="Times New Roman"/>
                <w:sz w:val="24"/>
                <w:szCs w:val="24"/>
              </w:rPr>
              <w:t xml:space="preserve"> not English) </w:t>
            </w:r>
          </w:p>
        </w:tc>
        <w:tc>
          <w:tcPr>
            <w:tcW w:w="2337" w:type="dxa"/>
          </w:tcPr>
          <w:p w14:paraId="679271C9" w14:textId="77777777" w:rsidR="00967C55" w:rsidRDefault="00967C55" w:rsidP="00967C55">
            <w:pPr>
              <w:contextualSpacing/>
              <w:rPr>
                <w:rFonts w:cs="Times New Roman"/>
                <w:sz w:val="24"/>
                <w:szCs w:val="24"/>
              </w:rPr>
            </w:pPr>
            <w:r>
              <w:rPr>
                <w:rFonts w:cs="Times New Roman"/>
                <w:sz w:val="24"/>
                <w:szCs w:val="24"/>
              </w:rPr>
              <w:t>-1</w:t>
            </w:r>
          </w:p>
        </w:tc>
        <w:tc>
          <w:tcPr>
            <w:tcW w:w="2338" w:type="dxa"/>
          </w:tcPr>
          <w:p w14:paraId="782413A4" w14:textId="77777777" w:rsidR="00967C55" w:rsidRDefault="00967C55" w:rsidP="00967C55">
            <w:pPr>
              <w:contextualSpacing/>
              <w:rPr>
                <w:rFonts w:cs="Times New Roman"/>
                <w:sz w:val="24"/>
                <w:szCs w:val="24"/>
              </w:rPr>
            </w:pPr>
            <w:r>
              <w:rPr>
                <w:rFonts w:cs="Times New Roman"/>
                <w:sz w:val="24"/>
                <w:szCs w:val="24"/>
              </w:rPr>
              <w:t xml:space="preserve">-1 </w:t>
            </w:r>
          </w:p>
        </w:tc>
        <w:tc>
          <w:tcPr>
            <w:tcW w:w="2338" w:type="dxa"/>
          </w:tcPr>
          <w:p w14:paraId="1B1282CD" w14:textId="77777777" w:rsidR="00967C55" w:rsidRDefault="00967C55" w:rsidP="00967C55">
            <w:pPr>
              <w:contextualSpacing/>
              <w:rPr>
                <w:rFonts w:cs="Times New Roman"/>
                <w:sz w:val="24"/>
                <w:szCs w:val="24"/>
              </w:rPr>
            </w:pPr>
            <w:r>
              <w:rPr>
                <w:rFonts w:cs="Times New Roman"/>
                <w:sz w:val="24"/>
                <w:szCs w:val="24"/>
              </w:rPr>
              <w:t xml:space="preserve">+3 </w:t>
            </w:r>
          </w:p>
        </w:tc>
      </w:tr>
    </w:tbl>
    <w:p w14:paraId="56A89DF2" w14:textId="77777777" w:rsidR="006B4A1B" w:rsidRDefault="006B4A1B" w:rsidP="00632E6E">
      <w:pPr>
        <w:contextualSpacing/>
        <w:rPr>
          <w:rFonts w:cs="Times New Roman"/>
          <w:sz w:val="24"/>
          <w:szCs w:val="24"/>
        </w:rPr>
      </w:pPr>
    </w:p>
    <w:p w14:paraId="1DC03AFC" w14:textId="0A378C1F" w:rsidR="00B50703" w:rsidRDefault="00BD0208" w:rsidP="00B50703">
      <w:pPr>
        <w:contextualSpacing/>
        <w:rPr>
          <w:rFonts w:cs="Times New Roman"/>
          <w:sz w:val="24"/>
          <w:szCs w:val="24"/>
        </w:rPr>
      </w:pPr>
      <w:r>
        <w:rPr>
          <w:rFonts w:cs="Times New Roman"/>
          <w:sz w:val="24"/>
          <w:szCs w:val="24"/>
        </w:rPr>
        <w:t>But the pattern</w:t>
      </w:r>
      <w:r w:rsidR="00AE777A">
        <w:rPr>
          <w:rFonts w:cs="Times New Roman"/>
          <w:sz w:val="24"/>
          <w:szCs w:val="24"/>
        </w:rPr>
        <w:t xml:space="preserve"> cannot account for the gains in performance from the late 1990s to the present unless it </w:t>
      </w:r>
      <w:r w:rsidR="006A7BBA">
        <w:rPr>
          <w:rFonts w:cs="Times New Roman"/>
          <w:sz w:val="24"/>
          <w:szCs w:val="24"/>
        </w:rPr>
        <w:t xml:space="preserve">is </w:t>
      </w:r>
      <w:r w:rsidR="00AE777A">
        <w:rPr>
          <w:rFonts w:cs="Times New Roman"/>
          <w:sz w:val="24"/>
          <w:szCs w:val="24"/>
        </w:rPr>
        <w:t xml:space="preserve">the case that high performing </w:t>
      </w:r>
      <w:r w:rsidR="00632E6E">
        <w:rPr>
          <w:rFonts w:cs="Times New Roman"/>
          <w:sz w:val="24"/>
          <w:szCs w:val="24"/>
        </w:rPr>
        <w:t xml:space="preserve">EAL students </w:t>
      </w:r>
      <w:r w:rsidR="00AE777A">
        <w:rPr>
          <w:rFonts w:cs="Times New Roman"/>
          <w:sz w:val="24"/>
          <w:szCs w:val="24"/>
        </w:rPr>
        <w:t xml:space="preserve">were increasing </w:t>
      </w:r>
      <w:r w:rsidR="00632E6E">
        <w:rPr>
          <w:rFonts w:cs="Times New Roman"/>
          <w:sz w:val="24"/>
          <w:szCs w:val="24"/>
        </w:rPr>
        <w:t>as a</w:t>
      </w:r>
      <w:r w:rsidR="00012D17">
        <w:rPr>
          <w:rFonts w:cs="Times New Roman"/>
          <w:sz w:val="24"/>
          <w:szCs w:val="24"/>
        </w:rPr>
        <w:t xml:space="preserve"> share of all primary students.</w:t>
      </w:r>
      <w:r w:rsidR="00632E6E">
        <w:rPr>
          <w:rFonts w:cs="Times New Roman"/>
          <w:sz w:val="24"/>
          <w:szCs w:val="24"/>
        </w:rPr>
        <w:t xml:space="preserve"> The following graph</w:t>
      </w:r>
      <w:r w:rsidR="00B514A1">
        <w:rPr>
          <w:rFonts w:cs="Times New Roman"/>
          <w:sz w:val="24"/>
          <w:szCs w:val="24"/>
        </w:rPr>
        <w:t xml:space="preserve"> (which starts only in</w:t>
      </w:r>
      <w:r w:rsidR="00632E6E">
        <w:rPr>
          <w:rFonts w:cs="Times New Roman"/>
          <w:sz w:val="24"/>
          <w:szCs w:val="24"/>
        </w:rPr>
        <w:t xml:space="preserve"> 2003 because of data </w:t>
      </w:r>
      <w:r w:rsidR="00B514A1">
        <w:rPr>
          <w:rFonts w:cs="Times New Roman"/>
          <w:sz w:val="24"/>
          <w:szCs w:val="24"/>
        </w:rPr>
        <w:t xml:space="preserve">limitations) </w:t>
      </w:r>
      <w:r w:rsidR="00632E6E">
        <w:rPr>
          <w:rFonts w:cs="Times New Roman"/>
          <w:sz w:val="24"/>
          <w:szCs w:val="24"/>
        </w:rPr>
        <w:t xml:space="preserve">shows no evidence of that pattern in </w:t>
      </w:r>
      <w:r w:rsidR="00AE777A">
        <w:rPr>
          <w:rFonts w:cs="Times New Roman"/>
          <w:sz w:val="24"/>
          <w:szCs w:val="24"/>
        </w:rPr>
        <w:t xml:space="preserve">either of </w:t>
      </w:r>
      <w:r w:rsidR="00632E6E">
        <w:rPr>
          <w:rFonts w:cs="Times New Roman"/>
          <w:sz w:val="24"/>
          <w:szCs w:val="24"/>
        </w:rPr>
        <w:t xml:space="preserve">two boroughs. </w:t>
      </w:r>
      <w:r w:rsidR="00B514A1">
        <w:rPr>
          <w:rFonts w:cs="Times New Roman"/>
          <w:sz w:val="24"/>
          <w:szCs w:val="24"/>
        </w:rPr>
        <w:t xml:space="preserve"> </w:t>
      </w:r>
      <w:r w:rsidR="00F61B0F">
        <w:rPr>
          <w:rFonts w:cs="Times New Roman"/>
          <w:sz w:val="24"/>
          <w:szCs w:val="24"/>
        </w:rPr>
        <w:t>Unfortunately, t</w:t>
      </w:r>
      <w:r w:rsidR="00B514A1">
        <w:rPr>
          <w:rFonts w:cs="Times New Roman"/>
          <w:sz w:val="24"/>
          <w:szCs w:val="24"/>
        </w:rPr>
        <w:t xml:space="preserve">he fact that we have no evidence prior to 2003 </w:t>
      </w:r>
      <w:r w:rsidR="0035005E">
        <w:rPr>
          <w:rFonts w:cs="Times New Roman"/>
          <w:sz w:val="24"/>
          <w:szCs w:val="24"/>
        </w:rPr>
        <w:t xml:space="preserve">on the ethnic mix of primary school students in Tower Hamlets means </w:t>
      </w:r>
      <w:r>
        <w:rPr>
          <w:rFonts w:cs="Times New Roman"/>
          <w:sz w:val="24"/>
          <w:szCs w:val="24"/>
        </w:rPr>
        <w:t xml:space="preserve">that </w:t>
      </w:r>
      <w:r w:rsidR="0035005E">
        <w:rPr>
          <w:rFonts w:cs="Times New Roman"/>
          <w:sz w:val="24"/>
          <w:szCs w:val="24"/>
        </w:rPr>
        <w:t xml:space="preserve">we cannot completely rule out the possibility that a rising share of ethnic minorities </w:t>
      </w:r>
      <w:r w:rsidR="00F61B0F">
        <w:rPr>
          <w:rFonts w:cs="Times New Roman"/>
          <w:sz w:val="24"/>
          <w:szCs w:val="24"/>
        </w:rPr>
        <w:t xml:space="preserve">between </w:t>
      </w:r>
      <w:r w:rsidR="0035005E">
        <w:rPr>
          <w:rFonts w:cs="Times New Roman"/>
          <w:sz w:val="24"/>
          <w:szCs w:val="24"/>
        </w:rPr>
        <w:t xml:space="preserve">1998-2002 contributed to the rapid achievement gains in that borough during that period.  </w:t>
      </w:r>
      <w:r w:rsidR="00AE777A">
        <w:rPr>
          <w:rFonts w:cs="Times New Roman"/>
          <w:sz w:val="24"/>
          <w:szCs w:val="24"/>
        </w:rPr>
        <w:t xml:space="preserve">We </w:t>
      </w:r>
      <w:r w:rsidR="0035005E">
        <w:rPr>
          <w:rFonts w:cs="Times New Roman"/>
          <w:sz w:val="24"/>
          <w:szCs w:val="24"/>
        </w:rPr>
        <w:t xml:space="preserve">find </w:t>
      </w:r>
      <w:r w:rsidR="00AE777A">
        <w:rPr>
          <w:rFonts w:cs="Times New Roman"/>
          <w:sz w:val="24"/>
          <w:szCs w:val="24"/>
        </w:rPr>
        <w:t>that explanation</w:t>
      </w:r>
      <w:r w:rsidR="0035005E">
        <w:rPr>
          <w:rFonts w:cs="Times New Roman"/>
          <w:sz w:val="24"/>
          <w:szCs w:val="24"/>
        </w:rPr>
        <w:t xml:space="preserve"> quite improbable</w:t>
      </w:r>
      <w:r w:rsidR="00F61B0F">
        <w:rPr>
          <w:rFonts w:cs="Times New Roman"/>
          <w:sz w:val="24"/>
          <w:szCs w:val="24"/>
        </w:rPr>
        <w:t xml:space="preserve">, however, </w:t>
      </w:r>
      <w:r w:rsidR="0035005E">
        <w:rPr>
          <w:rFonts w:cs="Times New Roman"/>
          <w:sz w:val="24"/>
          <w:szCs w:val="24"/>
        </w:rPr>
        <w:t xml:space="preserve">given that Bengalis and other ethnic minorities were performing so poorly </w:t>
      </w:r>
      <w:r w:rsidR="00241BBF">
        <w:rPr>
          <w:rFonts w:cs="Times New Roman"/>
          <w:sz w:val="24"/>
          <w:szCs w:val="24"/>
        </w:rPr>
        <w:t xml:space="preserve">in </w:t>
      </w:r>
      <w:r w:rsidR="006A7BBA">
        <w:rPr>
          <w:rFonts w:cs="Times New Roman"/>
          <w:sz w:val="24"/>
          <w:szCs w:val="24"/>
        </w:rPr>
        <w:t xml:space="preserve">Tower Hamlets </w:t>
      </w:r>
      <w:r w:rsidR="0035005E">
        <w:rPr>
          <w:rFonts w:cs="Times New Roman"/>
          <w:sz w:val="24"/>
          <w:szCs w:val="24"/>
        </w:rPr>
        <w:t xml:space="preserve">in 1996. Similarly, </w:t>
      </w:r>
      <w:r w:rsidR="00C03C3C">
        <w:rPr>
          <w:rFonts w:cs="Times New Roman"/>
          <w:sz w:val="24"/>
          <w:szCs w:val="24"/>
        </w:rPr>
        <w:t xml:space="preserve">rising shares </w:t>
      </w:r>
      <w:r w:rsidR="00C03C3C">
        <w:rPr>
          <w:rFonts w:cs="Times New Roman"/>
          <w:sz w:val="24"/>
          <w:szCs w:val="24"/>
        </w:rPr>
        <w:lastRenderedPageBreak/>
        <w:t>of ethnic students cannot e</w:t>
      </w:r>
      <w:r w:rsidR="00632E6E">
        <w:rPr>
          <w:rFonts w:cs="Times New Roman"/>
          <w:sz w:val="24"/>
          <w:szCs w:val="24"/>
        </w:rPr>
        <w:t xml:space="preserve">xplain the turnaround in Hackney, where the turnaround </w:t>
      </w:r>
      <w:r w:rsidR="00241BBF">
        <w:rPr>
          <w:rFonts w:cs="Times New Roman"/>
          <w:sz w:val="24"/>
          <w:szCs w:val="24"/>
        </w:rPr>
        <w:t xml:space="preserve">relative to the nation </w:t>
      </w:r>
      <w:r w:rsidR="00632E6E">
        <w:rPr>
          <w:rFonts w:cs="Times New Roman"/>
          <w:sz w:val="24"/>
          <w:szCs w:val="24"/>
        </w:rPr>
        <w:t xml:space="preserve">did not start until 2006. </w:t>
      </w:r>
      <w:r w:rsidR="00C03C3C">
        <w:rPr>
          <w:rFonts w:cs="Times New Roman"/>
          <w:sz w:val="24"/>
          <w:szCs w:val="24"/>
        </w:rPr>
        <w:t xml:space="preserve">Hence, we </w:t>
      </w:r>
      <w:r w:rsidR="006A7BBA">
        <w:rPr>
          <w:rFonts w:cs="Times New Roman"/>
          <w:sz w:val="24"/>
          <w:szCs w:val="24"/>
        </w:rPr>
        <w:t xml:space="preserve">need to </w:t>
      </w:r>
      <w:r w:rsidR="00C03C3C">
        <w:rPr>
          <w:rFonts w:cs="Times New Roman"/>
          <w:sz w:val="24"/>
          <w:szCs w:val="24"/>
        </w:rPr>
        <w:t xml:space="preserve">consider other possible explanations. </w:t>
      </w:r>
      <w:r w:rsidR="00632E6E">
        <w:rPr>
          <w:rFonts w:cs="Times New Roman"/>
          <w:sz w:val="24"/>
          <w:szCs w:val="24"/>
        </w:rPr>
        <w:t xml:space="preserve"> </w:t>
      </w:r>
    </w:p>
    <w:p w14:paraId="72A3A8DD" w14:textId="77777777" w:rsidR="00B50703" w:rsidRDefault="00B50703" w:rsidP="00B50703">
      <w:pPr>
        <w:contextualSpacing/>
        <w:rPr>
          <w:rFonts w:cs="Times New Roman"/>
          <w:sz w:val="24"/>
          <w:szCs w:val="24"/>
        </w:rPr>
      </w:pPr>
    </w:p>
    <w:p w14:paraId="0B9225E4" w14:textId="77777777" w:rsidR="00B50703" w:rsidRDefault="00B50703" w:rsidP="00B50703">
      <w:pPr>
        <w:contextualSpacing/>
      </w:pPr>
    </w:p>
    <w:p w14:paraId="00C45C32" w14:textId="77777777" w:rsidR="00D3702D" w:rsidRDefault="00B50703" w:rsidP="00C80ECE">
      <w:pPr>
        <w:contextualSpacing/>
        <w:rPr>
          <w:rFonts w:cs="Times New Roman"/>
          <w:sz w:val="24"/>
          <w:szCs w:val="24"/>
        </w:rPr>
      </w:pPr>
      <w:r>
        <w:rPr>
          <w:noProof/>
          <w:lang w:val="en-GB" w:eastAsia="en-GB"/>
        </w:rPr>
        <w:drawing>
          <wp:inline distT="0" distB="0" distL="0" distR="0" wp14:anchorId="089B3F72" wp14:editId="46DDC09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119EC4" w14:textId="77777777" w:rsidR="00E0643C" w:rsidRDefault="00E0643C" w:rsidP="00E0643C">
      <w:pPr>
        <w:ind w:left="360"/>
        <w:contextualSpacing/>
        <w:rPr>
          <w:rFonts w:cs="Times New Roman"/>
          <w:sz w:val="24"/>
          <w:szCs w:val="24"/>
        </w:rPr>
      </w:pPr>
    </w:p>
    <w:p w14:paraId="27048C50" w14:textId="77777777" w:rsidR="00DB4FAD" w:rsidRPr="00DB4FAD" w:rsidRDefault="00DB4FAD" w:rsidP="00632E6E">
      <w:pPr>
        <w:rPr>
          <w:rFonts w:cs="Times New Roman"/>
          <w:sz w:val="24"/>
          <w:szCs w:val="24"/>
        </w:rPr>
      </w:pPr>
      <w:r w:rsidRPr="00DB4FAD">
        <w:rPr>
          <w:rFonts w:cs="Times New Roman"/>
          <w:sz w:val="24"/>
          <w:szCs w:val="24"/>
        </w:rPr>
        <w:t xml:space="preserve">Source. Calculated by the authors from LEASIS data. </w:t>
      </w:r>
    </w:p>
    <w:p w14:paraId="7487A67F" w14:textId="77777777" w:rsidR="00C03C3C" w:rsidRPr="00012D17" w:rsidRDefault="00E0643C" w:rsidP="003A2022">
      <w:pPr>
        <w:rPr>
          <w:rFonts w:cs="Times New Roman"/>
          <w:b/>
          <w:sz w:val="28"/>
          <w:szCs w:val="28"/>
        </w:rPr>
      </w:pPr>
      <w:r w:rsidRPr="00012D17">
        <w:rPr>
          <w:rFonts w:cs="Times New Roman"/>
          <w:b/>
          <w:sz w:val="28"/>
          <w:szCs w:val="28"/>
        </w:rPr>
        <w:t xml:space="preserve">Gentrification </w:t>
      </w:r>
      <w:r w:rsidR="00C03C3C" w:rsidRPr="00012D17">
        <w:rPr>
          <w:rFonts w:cs="Times New Roman"/>
          <w:b/>
          <w:sz w:val="28"/>
          <w:szCs w:val="28"/>
        </w:rPr>
        <w:t xml:space="preserve">and economic growth  </w:t>
      </w:r>
    </w:p>
    <w:p w14:paraId="130B5EFF" w14:textId="77777777" w:rsidR="00813FAA" w:rsidRPr="00812AAD" w:rsidRDefault="00BD0208" w:rsidP="003A2022">
      <w:pPr>
        <w:rPr>
          <w:rFonts w:cs="Times New Roman"/>
          <w:sz w:val="24"/>
          <w:szCs w:val="24"/>
        </w:rPr>
      </w:pPr>
      <w:r>
        <w:rPr>
          <w:rFonts w:cs="Times New Roman"/>
          <w:sz w:val="24"/>
          <w:szCs w:val="24"/>
        </w:rPr>
        <w:t xml:space="preserve">One of </w:t>
      </w:r>
      <w:r w:rsidR="003A2022" w:rsidRPr="00812AAD">
        <w:rPr>
          <w:rFonts w:cs="Times New Roman"/>
          <w:sz w:val="24"/>
          <w:szCs w:val="24"/>
        </w:rPr>
        <w:t>the many reasons for th</w:t>
      </w:r>
      <w:r w:rsidR="003F138A" w:rsidRPr="00812AAD">
        <w:rPr>
          <w:rFonts w:cs="Times New Roman"/>
          <w:sz w:val="24"/>
          <w:szCs w:val="24"/>
        </w:rPr>
        <w:t xml:space="preserve">e rapid </w:t>
      </w:r>
      <w:r w:rsidR="00513D91">
        <w:rPr>
          <w:rFonts w:cs="Times New Roman"/>
          <w:sz w:val="24"/>
          <w:szCs w:val="24"/>
        </w:rPr>
        <w:t xml:space="preserve">recent </w:t>
      </w:r>
      <w:r w:rsidR="003F138A" w:rsidRPr="00812AAD">
        <w:rPr>
          <w:rFonts w:cs="Times New Roman"/>
          <w:sz w:val="24"/>
          <w:szCs w:val="24"/>
        </w:rPr>
        <w:t xml:space="preserve">population </w:t>
      </w:r>
      <w:r w:rsidR="003A2022" w:rsidRPr="00812AAD">
        <w:rPr>
          <w:rFonts w:cs="Times New Roman"/>
          <w:sz w:val="24"/>
          <w:szCs w:val="24"/>
        </w:rPr>
        <w:t xml:space="preserve">growth </w:t>
      </w:r>
      <w:r w:rsidR="003F138A" w:rsidRPr="00812AAD">
        <w:rPr>
          <w:rFonts w:cs="Times New Roman"/>
          <w:sz w:val="24"/>
          <w:szCs w:val="24"/>
        </w:rPr>
        <w:t xml:space="preserve">in both boroughs </w:t>
      </w:r>
      <w:r w:rsidR="003A2022" w:rsidRPr="00812AAD">
        <w:rPr>
          <w:rFonts w:cs="Times New Roman"/>
          <w:sz w:val="24"/>
          <w:szCs w:val="24"/>
        </w:rPr>
        <w:t>is the tight housing market in London. With house prices rising in Central London and becoming unaffordable for many young families</w:t>
      </w:r>
      <w:r w:rsidR="003F138A" w:rsidRPr="00812AAD">
        <w:rPr>
          <w:rFonts w:cs="Times New Roman"/>
          <w:sz w:val="24"/>
          <w:szCs w:val="24"/>
        </w:rPr>
        <w:t>,</w:t>
      </w:r>
      <w:r w:rsidR="003A2022" w:rsidRPr="00812AAD">
        <w:rPr>
          <w:rFonts w:cs="Times New Roman"/>
          <w:sz w:val="24"/>
          <w:szCs w:val="24"/>
        </w:rPr>
        <w:t xml:space="preserve"> both boroughs, </w:t>
      </w:r>
      <w:r w:rsidR="00F61B0F" w:rsidRPr="00812AAD">
        <w:rPr>
          <w:rFonts w:cs="Times New Roman"/>
          <w:sz w:val="24"/>
          <w:szCs w:val="24"/>
        </w:rPr>
        <w:t xml:space="preserve">and </w:t>
      </w:r>
      <w:r w:rsidR="003A2022" w:rsidRPr="00812AAD">
        <w:rPr>
          <w:rFonts w:cs="Times New Roman"/>
          <w:sz w:val="24"/>
          <w:szCs w:val="24"/>
        </w:rPr>
        <w:t>especially Hackney, have become increasingly attractive places for young professionals to settle.  Th</w:t>
      </w:r>
      <w:r w:rsidR="00241BBF">
        <w:rPr>
          <w:rFonts w:cs="Times New Roman"/>
          <w:sz w:val="24"/>
          <w:szCs w:val="24"/>
        </w:rPr>
        <w:t xml:space="preserve">e </w:t>
      </w:r>
      <w:r w:rsidR="003A2022" w:rsidRPr="00812AAD">
        <w:rPr>
          <w:rFonts w:cs="Times New Roman"/>
          <w:sz w:val="24"/>
          <w:szCs w:val="24"/>
        </w:rPr>
        <w:t>influx</w:t>
      </w:r>
      <w:r w:rsidR="001F78AD" w:rsidRPr="00812AAD">
        <w:rPr>
          <w:rFonts w:cs="Times New Roman"/>
          <w:sz w:val="24"/>
          <w:szCs w:val="24"/>
        </w:rPr>
        <w:t xml:space="preserve"> </w:t>
      </w:r>
      <w:r w:rsidR="003A2022" w:rsidRPr="00812AAD">
        <w:rPr>
          <w:rFonts w:cs="Times New Roman"/>
          <w:sz w:val="24"/>
          <w:szCs w:val="24"/>
        </w:rPr>
        <w:t xml:space="preserve">of more advantaged families </w:t>
      </w:r>
      <w:r w:rsidR="003F138A" w:rsidRPr="00812AAD">
        <w:rPr>
          <w:rFonts w:cs="Times New Roman"/>
          <w:sz w:val="24"/>
          <w:szCs w:val="24"/>
        </w:rPr>
        <w:t xml:space="preserve">will over time undoubtedly have a significant effect on the economic mix of children in the borough’s schools, and </w:t>
      </w:r>
      <w:r>
        <w:rPr>
          <w:rFonts w:cs="Times New Roman"/>
          <w:sz w:val="24"/>
          <w:szCs w:val="24"/>
        </w:rPr>
        <w:t xml:space="preserve">it could in </w:t>
      </w:r>
      <w:r w:rsidR="003F138A" w:rsidRPr="00812AAD">
        <w:rPr>
          <w:rFonts w:cs="Times New Roman"/>
          <w:sz w:val="24"/>
          <w:szCs w:val="24"/>
        </w:rPr>
        <w:t xml:space="preserve">turn lead to </w:t>
      </w:r>
      <w:r w:rsidR="00F61B0F" w:rsidRPr="00812AAD">
        <w:rPr>
          <w:rFonts w:cs="Times New Roman"/>
          <w:sz w:val="24"/>
          <w:szCs w:val="24"/>
        </w:rPr>
        <w:t xml:space="preserve">further rises in </w:t>
      </w:r>
      <w:r w:rsidR="00795E2A" w:rsidRPr="00812AAD">
        <w:rPr>
          <w:rFonts w:cs="Times New Roman"/>
          <w:sz w:val="24"/>
          <w:szCs w:val="24"/>
        </w:rPr>
        <w:t xml:space="preserve">student achievement. </w:t>
      </w:r>
      <w:r w:rsidR="003F138A" w:rsidRPr="00812AAD">
        <w:rPr>
          <w:rFonts w:cs="Times New Roman"/>
          <w:sz w:val="24"/>
          <w:szCs w:val="24"/>
        </w:rPr>
        <w:t xml:space="preserve">The question is </w:t>
      </w:r>
      <w:r w:rsidR="00F61B0F" w:rsidRPr="00812AAD">
        <w:rPr>
          <w:rFonts w:cs="Times New Roman"/>
          <w:sz w:val="24"/>
          <w:szCs w:val="24"/>
        </w:rPr>
        <w:t>the</w:t>
      </w:r>
      <w:r w:rsidR="00795E2A" w:rsidRPr="00812AAD">
        <w:rPr>
          <w:rFonts w:cs="Times New Roman"/>
          <w:sz w:val="24"/>
          <w:szCs w:val="24"/>
        </w:rPr>
        <w:t xml:space="preserve"> </w:t>
      </w:r>
      <w:r w:rsidR="003F138A" w:rsidRPr="00812AAD">
        <w:rPr>
          <w:rFonts w:cs="Times New Roman"/>
          <w:sz w:val="24"/>
          <w:szCs w:val="24"/>
        </w:rPr>
        <w:t>extent to which the change to date could account for the observed improvement in the two boroughs</w:t>
      </w:r>
      <w:r w:rsidR="00012D17">
        <w:rPr>
          <w:rFonts w:cs="Times New Roman"/>
          <w:sz w:val="24"/>
          <w:szCs w:val="24"/>
        </w:rPr>
        <w:t xml:space="preserve"> documented in F</w:t>
      </w:r>
      <w:r w:rsidR="001F78AD" w:rsidRPr="00812AAD">
        <w:rPr>
          <w:rFonts w:cs="Times New Roman"/>
          <w:sz w:val="24"/>
          <w:szCs w:val="24"/>
        </w:rPr>
        <w:t xml:space="preserve">igures 1a and 1b above. </w:t>
      </w:r>
      <w:r w:rsidR="00813FAA" w:rsidRPr="00812AAD">
        <w:rPr>
          <w:rFonts w:cs="Times New Roman"/>
          <w:sz w:val="24"/>
          <w:szCs w:val="24"/>
        </w:rPr>
        <w:t xml:space="preserve"> </w:t>
      </w:r>
    </w:p>
    <w:p w14:paraId="36481A74" w14:textId="77777777" w:rsidR="001F78AD" w:rsidRPr="00812AAD" w:rsidRDefault="00813FAA" w:rsidP="007B45D7">
      <w:pPr>
        <w:rPr>
          <w:rFonts w:cs="Times New Roman"/>
          <w:sz w:val="24"/>
          <w:szCs w:val="24"/>
        </w:rPr>
      </w:pPr>
      <w:r w:rsidRPr="00812AAD">
        <w:rPr>
          <w:rFonts w:cs="Times New Roman"/>
          <w:sz w:val="24"/>
          <w:szCs w:val="24"/>
        </w:rPr>
        <w:t xml:space="preserve">At the school level, the only </w:t>
      </w:r>
      <w:r w:rsidR="001F78AD" w:rsidRPr="00812AAD">
        <w:rPr>
          <w:rFonts w:cs="Times New Roman"/>
          <w:sz w:val="24"/>
          <w:szCs w:val="24"/>
        </w:rPr>
        <w:t xml:space="preserve">consistently available measure of student disadvantage </w:t>
      </w:r>
      <w:r w:rsidR="00F61B0F" w:rsidRPr="00812AAD">
        <w:rPr>
          <w:rFonts w:cs="Times New Roman"/>
          <w:sz w:val="24"/>
          <w:szCs w:val="24"/>
        </w:rPr>
        <w:t xml:space="preserve">over time </w:t>
      </w:r>
      <w:r w:rsidR="001F78AD" w:rsidRPr="00812AAD">
        <w:rPr>
          <w:rFonts w:cs="Times New Roman"/>
          <w:sz w:val="24"/>
          <w:szCs w:val="24"/>
        </w:rPr>
        <w:t xml:space="preserve">is eligibility for free school meals. Figure </w:t>
      </w:r>
      <w:r w:rsidR="005F652C">
        <w:rPr>
          <w:rFonts w:cs="Times New Roman"/>
          <w:sz w:val="24"/>
          <w:szCs w:val="24"/>
        </w:rPr>
        <w:t>3</w:t>
      </w:r>
      <w:r w:rsidR="001F78AD" w:rsidRPr="00812AAD">
        <w:rPr>
          <w:rFonts w:cs="Times New Roman"/>
          <w:sz w:val="24"/>
          <w:szCs w:val="24"/>
        </w:rPr>
        <w:t xml:space="preserve"> depicts trends in the percent of primary school students who are eligible for free lunch in the two boroughs and in the country as a whole.  The downward trends starting in both boroughs in 1997 is very clear. </w:t>
      </w:r>
      <w:r w:rsidR="005F652C">
        <w:rPr>
          <w:rFonts w:cs="Times New Roman"/>
          <w:sz w:val="24"/>
          <w:szCs w:val="24"/>
        </w:rPr>
        <w:t xml:space="preserve"> </w:t>
      </w:r>
    </w:p>
    <w:p w14:paraId="072BA85D" w14:textId="77777777" w:rsidR="000D06B6" w:rsidRDefault="000D06B6" w:rsidP="00813FAA">
      <w:pPr>
        <w:ind w:firstLine="720"/>
        <w:rPr>
          <w:rFonts w:cs="Times New Roman"/>
          <w:i/>
          <w:sz w:val="24"/>
          <w:szCs w:val="24"/>
        </w:rPr>
      </w:pPr>
      <w:r>
        <w:rPr>
          <w:noProof/>
          <w:lang w:val="en-GB" w:eastAsia="en-GB"/>
        </w:rPr>
        <w:lastRenderedPageBreak/>
        <w:drawing>
          <wp:inline distT="0" distB="0" distL="0" distR="0" wp14:anchorId="443177CE" wp14:editId="38CE00B7">
            <wp:extent cx="4295775" cy="32766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6B18E" w14:textId="77777777" w:rsidR="000D06B6" w:rsidRPr="00DB4FAD" w:rsidRDefault="00DB4FAD" w:rsidP="00813FAA">
      <w:pPr>
        <w:ind w:firstLine="720"/>
        <w:rPr>
          <w:rFonts w:cs="Times New Roman"/>
          <w:sz w:val="24"/>
          <w:szCs w:val="24"/>
        </w:rPr>
      </w:pPr>
      <w:r w:rsidRPr="00DB4FAD">
        <w:rPr>
          <w:rFonts w:cs="Times New Roman"/>
          <w:sz w:val="24"/>
          <w:szCs w:val="24"/>
        </w:rPr>
        <w:t>Source. Calculated by the authors from LEASIS data.</w:t>
      </w:r>
    </w:p>
    <w:p w14:paraId="1D367027" w14:textId="77777777" w:rsidR="000D06B6" w:rsidRDefault="000D06B6" w:rsidP="00813FAA">
      <w:pPr>
        <w:ind w:firstLine="720"/>
        <w:rPr>
          <w:rFonts w:cs="Times New Roman"/>
          <w:i/>
          <w:sz w:val="24"/>
          <w:szCs w:val="24"/>
        </w:rPr>
      </w:pPr>
    </w:p>
    <w:p w14:paraId="4C793A4B" w14:textId="3DBEF27A" w:rsidR="00A05126" w:rsidRPr="00513D91" w:rsidRDefault="001F78AD" w:rsidP="007562D6">
      <w:pPr>
        <w:ind w:firstLine="720"/>
        <w:rPr>
          <w:rFonts w:cs="Times New Roman"/>
          <w:sz w:val="24"/>
          <w:szCs w:val="24"/>
        </w:rPr>
      </w:pPr>
      <w:r w:rsidRPr="00513D91">
        <w:rPr>
          <w:rFonts w:cs="Times New Roman"/>
          <w:sz w:val="24"/>
          <w:szCs w:val="24"/>
        </w:rPr>
        <w:t xml:space="preserve">Several points are worth noting. First the most dramatic decline (from about </w:t>
      </w:r>
      <w:r w:rsidR="00A05126" w:rsidRPr="00513D91">
        <w:rPr>
          <w:rFonts w:cs="Times New Roman"/>
          <w:sz w:val="24"/>
          <w:szCs w:val="24"/>
        </w:rPr>
        <w:t>58</w:t>
      </w:r>
      <w:r w:rsidRPr="00513D91">
        <w:rPr>
          <w:rFonts w:cs="Times New Roman"/>
          <w:sz w:val="24"/>
          <w:szCs w:val="24"/>
        </w:rPr>
        <w:t xml:space="preserve"> percent to 4</w:t>
      </w:r>
      <w:r w:rsidR="00A05126" w:rsidRPr="00513D91">
        <w:rPr>
          <w:rFonts w:cs="Times New Roman"/>
          <w:sz w:val="24"/>
          <w:szCs w:val="24"/>
        </w:rPr>
        <w:t>1</w:t>
      </w:r>
      <w:r w:rsidRPr="00513D91">
        <w:rPr>
          <w:rFonts w:cs="Times New Roman"/>
          <w:sz w:val="24"/>
          <w:szCs w:val="24"/>
        </w:rPr>
        <w:t xml:space="preserve"> percent</w:t>
      </w:r>
      <w:r w:rsidR="00261EE8" w:rsidRPr="00513D91">
        <w:rPr>
          <w:rFonts w:cs="Times New Roman"/>
          <w:sz w:val="24"/>
          <w:szCs w:val="24"/>
        </w:rPr>
        <w:t xml:space="preserve">) </w:t>
      </w:r>
      <w:r w:rsidRPr="00513D91">
        <w:rPr>
          <w:rFonts w:cs="Times New Roman"/>
          <w:sz w:val="24"/>
          <w:szCs w:val="24"/>
        </w:rPr>
        <w:t xml:space="preserve">in Hackney </w:t>
      </w:r>
      <w:r w:rsidR="00261EE8" w:rsidRPr="00513D91">
        <w:rPr>
          <w:rFonts w:cs="Times New Roman"/>
          <w:sz w:val="24"/>
          <w:szCs w:val="24"/>
        </w:rPr>
        <w:t>occurred between 1997 and 2001, which could</w:t>
      </w:r>
      <w:r w:rsidR="00D0291D" w:rsidRPr="00513D91">
        <w:rPr>
          <w:rFonts w:cs="Times New Roman"/>
          <w:sz w:val="24"/>
          <w:szCs w:val="24"/>
        </w:rPr>
        <w:t xml:space="preserve"> well </w:t>
      </w:r>
      <w:r w:rsidR="00261EE8" w:rsidRPr="00513D91">
        <w:rPr>
          <w:rFonts w:cs="Times New Roman"/>
          <w:sz w:val="24"/>
          <w:szCs w:val="24"/>
        </w:rPr>
        <w:t>ac</w:t>
      </w:r>
      <w:r w:rsidR="002042DB" w:rsidRPr="00513D91">
        <w:rPr>
          <w:rFonts w:cs="Times New Roman"/>
          <w:sz w:val="24"/>
          <w:szCs w:val="24"/>
        </w:rPr>
        <w:t xml:space="preserve">count for some of the improvement in </w:t>
      </w:r>
      <w:r w:rsidR="002C71A7">
        <w:rPr>
          <w:rFonts w:cs="Times New Roman"/>
          <w:sz w:val="24"/>
          <w:szCs w:val="24"/>
        </w:rPr>
        <w:t xml:space="preserve">the performance of its pupils </w:t>
      </w:r>
      <w:r w:rsidR="00261EE8" w:rsidRPr="00513D91">
        <w:rPr>
          <w:rFonts w:cs="Times New Roman"/>
          <w:sz w:val="24"/>
          <w:szCs w:val="24"/>
        </w:rPr>
        <w:t>during th</w:t>
      </w:r>
      <w:r w:rsidR="002C71A7">
        <w:rPr>
          <w:rFonts w:cs="Times New Roman"/>
          <w:sz w:val="24"/>
          <w:szCs w:val="24"/>
        </w:rPr>
        <w:t xml:space="preserve">ose years. </w:t>
      </w:r>
      <w:r w:rsidR="00261EE8" w:rsidRPr="00513D91">
        <w:rPr>
          <w:rFonts w:cs="Times New Roman"/>
          <w:sz w:val="24"/>
          <w:szCs w:val="24"/>
        </w:rPr>
        <w:t xml:space="preserve"> </w:t>
      </w:r>
      <w:r w:rsidR="002042DB" w:rsidRPr="00513D91">
        <w:rPr>
          <w:rFonts w:cs="Times New Roman"/>
          <w:sz w:val="24"/>
          <w:szCs w:val="24"/>
        </w:rPr>
        <w:t>Second, the decline during the period 2006 to 2011</w:t>
      </w:r>
      <w:r w:rsidR="00BD0208" w:rsidRPr="00513D91">
        <w:rPr>
          <w:rFonts w:cs="Times New Roman"/>
          <w:sz w:val="24"/>
          <w:szCs w:val="24"/>
        </w:rPr>
        <w:t xml:space="preserve">, </w:t>
      </w:r>
      <w:r w:rsidR="002042DB" w:rsidRPr="00513D91">
        <w:rPr>
          <w:rFonts w:cs="Times New Roman"/>
          <w:sz w:val="24"/>
          <w:szCs w:val="24"/>
        </w:rPr>
        <w:t xml:space="preserve">when </w:t>
      </w:r>
      <w:r w:rsidR="00513D91">
        <w:rPr>
          <w:rFonts w:cs="Times New Roman"/>
          <w:sz w:val="24"/>
          <w:szCs w:val="24"/>
        </w:rPr>
        <w:t xml:space="preserve">student </w:t>
      </w:r>
      <w:r w:rsidR="0021580C" w:rsidRPr="00513D91">
        <w:rPr>
          <w:rFonts w:cs="Times New Roman"/>
          <w:sz w:val="24"/>
          <w:szCs w:val="24"/>
        </w:rPr>
        <w:t xml:space="preserve">achievement in </w:t>
      </w:r>
      <w:r w:rsidR="002042DB" w:rsidRPr="00513D91">
        <w:rPr>
          <w:rFonts w:cs="Times New Roman"/>
          <w:sz w:val="24"/>
          <w:szCs w:val="24"/>
        </w:rPr>
        <w:t xml:space="preserve">Hackney </w:t>
      </w:r>
      <w:r w:rsidR="0021580C" w:rsidRPr="00513D91">
        <w:rPr>
          <w:rFonts w:cs="Times New Roman"/>
          <w:sz w:val="24"/>
          <w:szCs w:val="24"/>
        </w:rPr>
        <w:t xml:space="preserve">was rising to the </w:t>
      </w:r>
      <w:r w:rsidR="002042DB" w:rsidRPr="00513D91">
        <w:rPr>
          <w:rFonts w:cs="Times New Roman"/>
          <w:sz w:val="24"/>
          <w:szCs w:val="24"/>
        </w:rPr>
        <w:t>national average</w:t>
      </w:r>
      <w:r w:rsidR="0021580C" w:rsidRPr="00513D91">
        <w:rPr>
          <w:rFonts w:cs="Times New Roman"/>
          <w:sz w:val="24"/>
          <w:szCs w:val="24"/>
        </w:rPr>
        <w:t xml:space="preserve">, </w:t>
      </w:r>
      <w:r w:rsidR="002042DB" w:rsidRPr="00513D91">
        <w:rPr>
          <w:rFonts w:cs="Times New Roman"/>
          <w:sz w:val="24"/>
          <w:szCs w:val="24"/>
        </w:rPr>
        <w:t>is much less marked,</w:t>
      </w:r>
      <w:r w:rsidR="00645CB9">
        <w:rPr>
          <w:rFonts w:cs="Times New Roman"/>
          <w:sz w:val="24"/>
          <w:szCs w:val="24"/>
        </w:rPr>
        <w:t xml:space="preserve"> </w:t>
      </w:r>
      <w:r w:rsidR="00261EE8" w:rsidRPr="00513D91">
        <w:rPr>
          <w:rFonts w:cs="Times New Roman"/>
          <w:sz w:val="24"/>
          <w:szCs w:val="24"/>
        </w:rPr>
        <w:t>with the share falling from about 40 percent to 3</w:t>
      </w:r>
      <w:r w:rsidR="00A05126" w:rsidRPr="00513D91">
        <w:rPr>
          <w:rFonts w:cs="Times New Roman"/>
          <w:sz w:val="24"/>
          <w:szCs w:val="24"/>
        </w:rPr>
        <w:t>8</w:t>
      </w:r>
      <w:r w:rsidR="00261EE8" w:rsidRPr="00513D91">
        <w:rPr>
          <w:rFonts w:cs="Times New Roman"/>
          <w:sz w:val="24"/>
          <w:szCs w:val="24"/>
        </w:rPr>
        <w:t xml:space="preserve"> percent</w:t>
      </w:r>
      <w:r w:rsidR="00A05126" w:rsidRPr="00513D91">
        <w:rPr>
          <w:rFonts w:cs="Times New Roman"/>
          <w:sz w:val="24"/>
          <w:szCs w:val="24"/>
        </w:rPr>
        <w:t>.</w:t>
      </w:r>
      <w:r w:rsidR="005119E5" w:rsidRPr="00513D91">
        <w:rPr>
          <w:rFonts w:cs="Times New Roman"/>
          <w:sz w:val="24"/>
          <w:szCs w:val="24"/>
        </w:rPr>
        <w:t xml:space="preserve">  </w:t>
      </w:r>
      <w:r w:rsidR="00BD0208" w:rsidRPr="00513D91">
        <w:rPr>
          <w:rFonts w:cs="Times New Roman"/>
          <w:sz w:val="24"/>
          <w:szCs w:val="24"/>
        </w:rPr>
        <w:t>T</w:t>
      </w:r>
      <w:r w:rsidR="00F61B0F" w:rsidRPr="00513D91">
        <w:rPr>
          <w:rFonts w:cs="Times New Roman"/>
          <w:sz w:val="24"/>
          <w:szCs w:val="24"/>
        </w:rPr>
        <w:t xml:space="preserve">hat two </w:t>
      </w:r>
      <w:r w:rsidR="005119E5" w:rsidRPr="00513D91">
        <w:rPr>
          <w:rFonts w:cs="Times New Roman"/>
          <w:sz w:val="24"/>
          <w:szCs w:val="24"/>
        </w:rPr>
        <w:t>percentage point decline appears</w:t>
      </w:r>
      <w:r w:rsidR="00BD0208" w:rsidRPr="00513D91">
        <w:rPr>
          <w:rFonts w:cs="Times New Roman"/>
          <w:sz w:val="24"/>
          <w:szCs w:val="24"/>
        </w:rPr>
        <w:t xml:space="preserve"> somewhat </w:t>
      </w:r>
      <w:r w:rsidR="005119E5" w:rsidRPr="00513D91">
        <w:rPr>
          <w:rFonts w:cs="Times New Roman"/>
          <w:sz w:val="24"/>
          <w:szCs w:val="24"/>
        </w:rPr>
        <w:t xml:space="preserve">larger, however, when compared to the </w:t>
      </w:r>
      <w:r w:rsidR="004F355C">
        <w:rPr>
          <w:rFonts w:cs="Times New Roman"/>
          <w:sz w:val="24"/>
          <w:szCs w:val="24"/>
        </w:rPr>
        <w:t>two</w:t>
      </w:r>
      <w:r w:rsidR="005119E5" w:rsidRPr="00513D91">
        <w:rPr>
          <w:rFonts w:cs="Times New Roman"/>
          <w:sz w:val="24"/>
          <w:szCs w:val="24"/>
        </w:rPr>
        <w:t xml:space="preserve"> percentage point increase at the national level during th</w:t>
      </w:r>
      <w:r w:rsidR="002C71A7">
        <w:rPr>
          <w:rFonts w:cs="Times New Roman"/>
          <w:sz w:val="24"/>
          <w:szCs w:val="24"/>
        </w:rPr>
        <w:t xml:space="preserve">e same </w:t>
      </w:r>
      <w:r w:rsidR="005119E5" w:rsidRPr="00513D91">
        <w:rPr>
          <w:rFonts w:cs="Times New Roman"/>
          <w:sz w:val="24"/>
          <w:szCs w:val="24"/>
        </w:rPr>
        <w:t>period</w:t>
      </w:r>
      <w:r w:rsidR="00BD0208" w:rsidRPr="00513D91">
        <w:rPr>
          <w:rFonts w:cs="Times New Roman"/>
          <w:sz w:val="24"/>
          <w:szCs w:val="24"/>
        </w:rPr>
        <w:t>. Thus</w:t>
      </w:r>
      <w:r w:rsidR="004F355C">
        <w:rPr>
          <w:rFonts w:cs="Times New Roman"/>
          <w:sz w:val="24"/>
          <w:szCs w:val="24"/>
        </w:rPr>
        <w:t>,</w:t>
      </w:r>
      <w:r w:rsidR="00BD0208" w:rsidRPr="00513D91">
        <w:rPr>
          <w:rFonts w:cs="Times New Roman"/>
          <w:sz w:val="24"/>
          <w:szCs w:val="24"/>
        </w:rPr>
        <w:t xml:space="preserve"> </w:t>
      </w:r>
      <w:r w:rsidR="005119E5" w:rsidRPr="00513D91">
        <w:rPr>
          <w:rFonts w:cs="Times New Roman"/>
          <w:sz w:val="24"/>
          <w:szCs w:val="24"/>
        </w:rPr>
        <w:t>gentrification in Hackney, with its associated reduction in the share of low income students</w:t>
      </w:r>
      <w:r w:rsidR="002042DB" w:rsidRPr="00513D91">
        <w:rPr>
          <w:rFonts w:cs="Times New Roman"/>
          <w:sz w:val="24"/>
          <w:szCs w:val="24"/>
        </w:rPr>
        <w:t>,</w:t>
      </w:r>
      <w:r w:rsidR="005119E5" w:rsidRPr="00513D91">
        <w:rPr>
          <w:rFonts w:cs="Times New Roman"/>
          <w:sz w:val="24"/>
          <w:szCs w:val="24"/>
        </w:rPr>
        <w:t xml:space="preserve"> </w:t>
      </w:r>
      <w:r w:rsidR="00F61B0F" w:rsidRPr="00513D91">
        <w:rPr>
          <w:rFonts w:cs="Times New Roman"/>
          <w:sz w:val="24"/>
          <w:szCs w:val="24"/>
        </w:rPr>
        <w:t xml:space="preserve">may well have played </w:t>
      </w:r>
      <w:r w:rsidR="005119E5" w:rsidRPr="00513D91">
        <w:rPr>
          <w:rFonts w:cs="Times New Roman"/>
          <w:sz w:val="24"/>
          <w:szCs w:val="24"/>
        </w:rPr>
        <w:t>some role in that borough’s success</w:t>
      </w:r>
      <w:r w:rsidR="00812AAD" w:rsidRPr="00513D91">
        <w:rPr>
          <w:rFonts w:cs="Times New Roman"/>
          <w:sz w:val="24"/>
          <w:szCs w:val="24"/>
        </w:rPr>
        <w:t xml:space="preserve"> after 2006</w:t>
      </w:r>
      <w:r w:rsidR="005119E5" w:rsidRPr="00513D91">
        <w:rPr>
          <w:rFonts w:cs="Times New Roman"/>
          <w:sz w:val="24"/>
          <w:szCs w:val="24"/>
        </w:rPr>
        <w:t xml:space="preserve">. </w:t>
      </w:r>
    </w:p>
    <w:p w14:paraId="61BE3CF0" w14:textId="77777777" w:rsidR="005119E5" w:rsidRPr="00513D91" w:rsidRDefault="002042DB" w:rsidP="00012D17">
      <w:pPr>
        <w:rPr>
          <w:rFonts w:cs="Times New Roman"/>
          <w:sz w:val="24"/>
          <w:szCs w:val="24"/>
        </w:rPr>
      </w:pPr>
      <w:r w:rsidRPr="00513D91">
        <w:rPr>
          <w:rFonts w:cs="Times New Roman"/>
          <w:sz w:val="24"/>
          <w:szCs w:val="24"/>
        </w:rPr>
        <w:t xml:space="preserve">The evidence </w:t>
      </w:r>
      <w:r w:rsidR="00513E25" w:rsidRPr="00513D91">
        <w:rPr>
          <w:rFonts w:cs="Times New Roman"/>
          <w:sz w:val="24"/>
          <w:szCs w:val="24"/>
        </w:rPr>
        <w:t xml:space="preserve">supports a different story in </w:t>
      </w:r>
      <w:r w:rsidRPr="00513D91">
        <w:rPr>
          <w:rFonts w:cs="Times New Roman"/>
          <w:sz w:val="24"/>
          <w:szCs w:val="24"/>
        </w:rPr>
        <w:t>Tower Hamlets</w:t>
      </w:r>
      <w:r w:rsidR="00513E25" w:rsidRPr="00513D91">
        <w:rPr>
          <w:rFonts w:cs="Times New Roman"/>
          <w:sz w:val="24"/>
          <w:szCs w:val="24"/>
        </w:rPr>
        <w:t xml:space="preserve">. </w:t>
      </w:r>
      <w:r w:rsidRPr="00513D91">
        <w:rPr>
          <w:rFonts w:cs="Times New Roman"/>
          <w:sz w:val="24"/>
          <w:szCs w:val="24"/>
        </w:rPr>
        <w:t xml:space="preserve"> </w:t>
      </w:r>
      <w:r w:rsidR="00261EE8" w:rsidRPr="00513D91">
        <w:rPr>
          <w:rFonts w:cs="Times New Roman"/>
          <w:sz w:val="24"/>
          <w:szCs w:val="24"/>
        </w:rPr>
        <w:t xml:space="preserve">Recall that the </w:t>
      </w:r>
      <w:r w:rsidR="00513D91">
        <w:rPr>
          <w:rFonts w:cs="Times New Roman"/>
          <w:sz w:val="24"/>
          <w:szCs w:val="24"/>
        </w:rPr>
        <w:t xml:space="preserve">most rapid </w:t>
      </w:r>
      <w:r w:rsidR="00261EE8" w:rsidRPr="00513D91">
        <w:rPr>
          <w:rFonts w:cs="Times New Roman"/>
          <w:sz w:val="24"/>
          <w:szCs w:val="24"/>
        </w:rPr>
        <w:t xml:space="preserve">improvement in test scores </w:t>
      </w:r>
      <w:r w:rsidR="00513D91">
        <w:rPr>
          <w:rFonts w:cs="Times New Roman"/>
          <w:sz w:val="24"/>
          <w:szCs w:val="24"/>
        </w:rPr>
        <w:t xml:space="preserve">relative to the national average </w:t>
      </w:r>
      <w:r w:rsidR="00261EE8" w:rsidRPr="00513D91">
        <w:rPr>
          <w:rFonts w:cs="Times New Roman"/>
          <w:sz w:val="24"/>
          <w:szCs w:val="24"/>
        </w:rPr>
        <w:t>in Tower Hamlets occurred between 1998 and 2001</w:t>
      </w:r>
      <w:r w:rsidR="00513D91">
        <w:rPr>
          <w:rFonts w:cs="Times New Roman"/>
          <w:sz w:val="24"/>
          <w:szCs w:val="24"/>
        </w:rPr>
        <w:t xml:space="preserve">. </w:t>
      </w:r>
      <w:r w:rsidR="00261EE8" w:rsidRPr="00513D91">
        <w:rPr>
          <w:rFonts w:cs="Times New Roman"/>
          <w:sz w:val="24"/>
          <w:szCs w:val="24"/>
        </w:rPr>
        <w:t xml:space="preserve">The graph indicates that during this period, </w:t>
      </w:r>
      <w:r w:rsidR="00A05126" w:rsidRPr="00513D91">
        <w:rPr>
          <w:rFonts w:cs="Times New Roman"/>
          <w:sz w:val="24"/>
          <w:szCs w:val="24"/>
        </w:rPr>
        <w:t xml:space="preserve">the economic situation of students was </w:t>
      </w:r>
      <w:r w:rsidR="00BD0208" w:rsidRPr="00513D91">
        <w:rPr>
          <w:rFonts w:cs="Times New Roman"/>
          <w:sz w:val="24"/>
          <w:szCs w:val="24"/>
        </w:rPr>
        <w:t>improving</w:t>
      </w:r>
      <w:r w:rsidR="00012D17">
        <w:rPr>
          <w:rFonts w:cs="Times New Roman"/>
          <w:sz w:val="24"/>
          <w:szCs w:val="24"/>
        </w:rPr>
        <w:t>,</w:t>
      </w:r>
      <w:r w:rsidR="00513D91">
        <w:rPr>
          <w:rFonts w:cs="Times New Roman"/>
          <w:sz w:val="24"/>
          <w:szCs w:val="24"/>
        </w:rPr>
        <w:t xml:space="preserve"> with the share declining by </w:t>
      </w:r>
      <w:r w:rsidR="00BD0208" w:rsidRPr="00513D91">
        <w:rPr>
          <w:rFonts w:cs="Times New Roman"/>
          <w:sz w:val="24"/>
          <w:szCs w:val="24"/>
        </w:rPr>
        <w:t xml:space="preserve">2.8 percentage points, </w:t>
      </w:r>
      <w:r w:rsidR="00A05126" w:rsidRPr="00513D91">
        <w:rPr>
          <w:rFonts w:cs="Times New Roman"/>
          <w:sz w:val="24"/>
          <w:szCs w:val="24"/>
        </w:rPr>
        <w:t xml:space="preserve">from 59.5 percent to 56.7 </w:t>
      </w:r>
      <w:r w:rsidR="007562D6" w:rsidRPr="00513D91">
        <w:rPr>
          <w:rFonts w:cs="Times New Roman"/>
          <w:sz w:val="24"/>
          <w:szCs w:val="24"/>
        </w:rPr>
        <w:t>percent</w:t>
      </w:r>
      <w:r w:rsidR="00513D91">
        <w:rPr>
          <w:rFonts w:cs="Times New Roman"/>
          <w:sz w:val="24"/>
          <w:szCs w:val="24"/>
        </w:rPr>
        <w:t>. This decline, however</w:t>
      </w:r>
      <w:r w:rsidR="007562D6" w:rsidRPr="00513D91">
        <w:rPr>
          <w:rFonts w:cs="Times New Roman"/>
          <w:sz w:val="24"/>
          <w:szCs w:val="24"/>
        </w:rPr>
        <w:t xml:space="preserve">, </w:t>
      </w:r>
      <w:r w:rsidR="00A05126" w:rsidRPr="00513D91">
        <w:rPr>
          <w:rFonts w:cs="Times New Roman"/>
          <w:sz w:val="24"/>
          <w:szCs w:val="24"/>
        </w:rPr>
        <w:t>was only slightly larger th</w:t>
      </w:r>
      <w:r w:rsidR="005119E5" w:rsidRPr="00513D91">
        <w:rPr>
          <w:rFonts w:cs="Times New Roman"/>
          <w:sz w:val="24"/>
          <w:szCs w:val="24"/>
        </w:rPr>
        <w:t xml:space="preserve">an </w:t>
      </w:r>
      <w:r w:rsidR="00A05126" w:rsidRPr="00513D91">
        <w:rPr>
          <w:rFonts w:cs="Times New Roman"/>
          <w:sz w:val="24"/>
          <w:szCs w:val="24"/>
        </w:rPr>
        <w:t xml:space="preserve">the 2.3 percentage point decline for the nation as a whole.  Hence, it would be hard to attribute much of the </w:t>
      </w:r>
      <w:r w:rsidR="00D0291D" w:rsidRPr="00513D91">
        <w:rPr>
          <w:rFonts w:cs="Times New Roman"/>
          <w:sz w:val="24"/>
          <w:szCs w:val="24"/>
        </w:rPr>
        <w:t xml:space="preserve">achievement growth </w:t>
      </w:r>
      <w:r w:rsidR="00513E25" w:rsidRPr="00513D91">
        <w:rPr>
          <w:rFonts w:cs="Times New Roman"/>
          <w:sz w:val="24"/>
          <w:szCs w:val="24"/>
        </w:rPr>
        <w:t xml:space="preserve">relative to the nation </w:t>
      </w:r>
      <w:r w:rsidR="00A05126" w:rsidRPr="00513D91">
        <w:rPr>
          <w:rFonts w:cs="Times New Roman"/>
          <w:sz w:val="24"/>
          <w:szCs w:val="24"/>
        </w:rPr>
        <w:t>during that</w:t>
      </w:r>
      <w:r w:rsidRPr="00513D91">
        <w:rPr>
          <w:rFonts w:cs="Times New Roman"/>
          <w:sz w:val="24"/>
          <w:szCs w:val="24"/>
        </w:rPr>
        <w:t xml:space="preserve"> early</w:t>
      </w:r>
      <w:r w:rsidR="00A05126" w:rsidRPr="00513D91">
        <w:rPr>
          <w:rFonts w:cs="Times New Roman"/>
          <w:sz w:val="24"/>
          <w:szCs w:val="24"/>
        </w:rPr>
        <w:t xml:space="preserve"> period to the </w:t>
      </w:r>
      <w:r w:rsidRPr="00513D91">
        <w:rPr>
          <w:rFonts w:cs="Times New Roman"/>
          <w:sz w:val="24"/>
          <w:szCs w:val="24"/>
        </w:rPr>
        <w:t>borough’</w:t>
      </w:r>
      <w:r w:rsidR="009D5CCB" w:rsidRPr="00513D91">
        <w:rPr>
          <w:rFonts w:cs="Times New Roman"/>
          <w:sz w:val="24"/>
          <w:szCs w:val="24"/>
        </w:rPr>
        <w:t>s</w:t>
      </w:r>
      <w:r w:rsidRPr="00513D91">
        <w:rPr>
          <w:rFonts w:cs="Times New Roman"/>
          <w:sz w:val="24"/>
          <w:szCs w:val="24"/>
        </w:rPr>
        <w:t xml:space="preserve"> </w:t>
      </w:r>
      <w:r w:rsidR="00A05126" w:rsidRPr="00513D91">
        <w:rPr>
          <w:rFonts w:cs="Times New Roman"/>
          <w:sz w:val="24"/>
          <w:szCs w:val="24"/>
        </w:rPr>
        <w:t xml:space="preserve">declining share of low-income pupils. </w:t>
      </w:r>
      <w:r w:rsidR="00012D17">
        <w:rPr>
          <w:rFonts w:cs="Times New Roman"/>
          <w:sz w:val="24"/>
          <w:szCs w:val="24"/>
        </w:rPr>
        <w:t>Nevertheless,</w:t>
      </w:r>
      <w:r w:rsidR="00513E25" w:rsidRPr="00513D91">
        <w:rPr>
          <w:rFonts w:cs="Times New Roman"/>
          <w:sz w:val="24"/>
          <w:szCs w:val="24"/>
        </w:rPr>
        <w:t xml:space="preserve"> the decline </w:t>
      </w:r>
      <w:r w:rsidR="00513D91">
        <w:rPr>
          <w:rFonts w:cs="Times New Roman"/>
          <w:sz w:val="24"/>
          <w:szCs w:val="24"/>
        </w:rPr>
        <w:t xml:space="preserve">in the borough’s low-income students </w:t>
      </w:r>
      <w:r w:rsidR="00513E25" w:rsidRPr="00513D91">
        <w:rPr>
          <w:rFonts w:cs="Times New Roman"/>
          <w:sz w:val="24"/>
          <w:szCs w:val="24"/>
        </w:rPr>
        <w:t xml:space="preserve">after 2005 probably helped the borough sustain its earlier improvement.  </w:t>
      </w:r>
    </w:p>
    <w:p w14:paraId="5A34C064" w14:textId="77777777" w:rsidR="00931721" w:rsidRPr="00513D91" w:rsidRDefault="009D5CCB" w:rsidP="00645CB9">
      <w:pPr>
        <w:rPr>
          <w:rFonts w:cs="Times New Roman"/>
          <w:sz w:val="24"/>
          <w:szCs w:val="24"/>
        </w:rPr>
      </w:pPr>
      <w:r w:rsidRPr="00513D91">
        <w:rPr>
          <w:rFonts w:cs="Times New Roman"/>
          <w:sz w:val="24"/>
          <w:szCs w:val="24"/>
        </w:rPr>
        <w:lastRenderedPageBreak/>
        <w:t xml:space="preserve">Importantly, even if the mix of </w:t>
      </w:r>
      <w:r w:rsidR="00FE2E00">
        <w:rPr>
          <w:rFonts w:cs="Times New Roman"/>
          <w:sz w:val="24"/>
          <w:szCs w:val="24"/>
        </w:rPr>
        <w:t xml:space="preserve">pupils </w:t>
      </w:r>
      <w:r w:rsidRPr="00513D91">
        <w:rPr>
          <w:rFonts w:cs="Times New Roman"/>
          <w:sz w:val="24"/>
          <w:szCs w:val="24"/>
        </w:rPr>
        <w:t>matters to some extent for average performance,</w:t>
      </w:r>
      <w:r w:rsidR="006A545F" w:rsidRPr="00513D91">
        <w:rPr>
          <w:rFonts w:cs="Times New Roman"/>
          <w:sz w:val="24"/>
          <w:szCs w:val="24"/>
        </w:rPr>
        <w:t xml:space="preserve"> </w:t>
      </w:r>
      <w:r w:rsidR="00931721" w:rsidRPr="00513D91">
        <w:rPr>
          <w:rFonts w:cs="Times New Roman"/>
          <w:sz w:val="24"/>
          <w:szCs w:val="24"/>
        </w:rPr>
        <w:t xml:space="preserve">a </w:t>
      </w:r>
      <w:r w:rsidRPr="00513D91">
        <w:rPr>
          <w:rFonts w:cs="Times New Roman"/>
          <w:sz w:val="24"/>
          <w:szCs w:val="24"/>
        </w:rPr>
        <w:t>decline</w:t>
      </w:r>
      <w:r w:rsidR="0021580C" w:rsidRPr="00513D91">
        <w:rPr>
          <w:rFonts w:cs="Times New Roman"/>
          <w:sz w:val="24"/>
          <w:szCs w:val="24"/>
        </w:rPr>
        <w:t xml:space="preserve"> in the share of low income students </w:t>
      </w:r>
      <w:r w:rsidRPr="00513D91">
        <w:rPr>
          <w:rFonts w:cs="Times New Roman"/>
          <w:sz w:val="24"/>
          <w:szCs w:val="24"/>
        </w:rPr>
        <w:t xml:space="preserve">cannot, </w:t>
      </w:r>
      <w:r w:rsidR="0021580C" w:rsidRPr="00513D91">
        <w:rPr>
          <w:rFonts w:cs="Times New Roman"/>
          <w:sz w:val="24"/>
          <w:szCs w:val="24"/>
        </w:rPr>
        <w:t xml:space="preserve">by itself, explain the fact that low income students </w:t>
      </w:r>
      <w:r w:rsidRPr="00513D91">
        <w:rPr>
          <w:rFonts w:cs="Times New Roman"/>
          <w:sz w:val="24"/>
          <w:szCs w:val="24"/>
        </w:rPr>
        <w:t>in Inner London boroughs outperform their national counterparts.</w:t>
      </w:r>
      <w:r w:rsidR="00CB7B9A">
        <w:rPr>
          <w:rStyle w:val="FootnoteReference"/>
          <w:rFonts w:cs="Times New Roman"/>
          <w:sz w:val="24"/>
          <w:szCs w:val="24"/>
        </w:rPr>
        <w:footnoteReference w:id="11"/>
      </w:r>
      <w:r w:rsidRPr="00513D91">
        <w:rPr>
          <w:rFonts w:cs="Times New Roman"/>
          <w:sz w:val="24"/>
          <w:szCs w:val="24"/>
        </w:rPr>
        <w:t xml:space="preserve"> In </w:t>
      </w:r>
      <w:r w:rsidRPr="00DB4FAD">
        <w:rPr>
          <w:rFonts w:cs="Times New Roman"/>
          <w:sz w:val="24"/>
          <w:szCs w:val="24"/>
        </w:rPr>
        <w:t xml:space="preserve">Table </w:t>
      </w:r>
      <w:r w:rsidR="00DB4FAD" w:rsidRPr="00DB4FAD">
        <w:rPr>
          <w:rFonts w:cs="Times New Roman"/>
          <w:sz w:val="24"/>
          <w:szCs w:val="24"/>
        </w:rPr>
        <w:t>1</w:t>
      </w:r>
      <w:r w:rsidRPr="00513D91">
        <w:rPr>
          <w:rFonts w:cs="Times New Roman"/>
          <w:sz w:val="24"/>
          <w:szCs w:val="24"/>
        </w:rPr>
        <w:t xml:space="preserve"> above we </w:t>
      </w:r>
      <w:r w:rsidR="007562D6" w:rsidRPr="00513D91">
        <w:rPr>
          <w:rFonts w:cs="Times New Roman"/>
          <w:sz w:val="24"/>
          <w:szCs w:val="24"/>
        </w:rPr>
        <w:t>showed</w:t>
      </w:r>
      <w:r w:rsidRPr="00513D91">
        <w:rPr>
          <w:rFonts w:cs="Times New Roman"/>
          <w:sz w:val="24"/>
          <w:szCs w:val="24"/>
        </w:rPr>
        <w:t xml:space="preserve"> that low- income pupils in Hackney and Tower Hamlets far outperform</w:t>
      </w:r>
      <w:r w:rsidR="00931721" w:rsidRPr="00513D91">
        <w:rPr>
          <w:rFonts w:cs="Times New Roman"/>
          <w:sz w:val="24"/>
          <w:szCs w:val="24"/>
        </w:rPr>
        <w:t>ed</w:t>
      </w:r>
      <w:r w:rsidRPr="00513D91">
        <w:rPr>
          <w:rFonts w:cs="Times New Roman"/>
          <w:sz w:val="24"/>
          <w:szCs w:val="24"/>
        </w:rPr>
        <w:t xml:space="preserve"> their national low-income </w:t>
      </w:r>
      <w:r w:rsidR="00012D17">
        <w:rPr>
          <w:rFonts w:cs="Times New Roman"/>
          <w:sz w:val="24"/>
          <w:szCs w:val="24"/>
        </w:rPr>
        <w:t>peers</w:t>
      </w:r>
      <w:r w:rsidR="00931721" w:rsidRPr="00513D91">
        <w:rPr>
          <w:rFonts w:cs="Times New Roman"/>
          <w:sz w:val="24"/>
          <w:szCs w:val="24"/>
        </w:rPr>
        <w:t xml:space="preserve"> in 2013. </w:t>
      </w:r>
      <w:r w:rsidRPr="00513D91">
        <w:rPr>
          <w:rFonts w:cs="Times New Roman"/>
          <w:sz w:val="24"/>
          <w:szCs w:val="24"/>
        </w:rPr>
        <w:t xml:space="preserve">  </w:t>
      </w:r>
      <w:r w:rsidR="005B7286" w:rsidRPr="00513D91">
        <w:rPr>
          <w:rFonts w:cs="Times New Roman"/>
          <w:sz w:val="24"/>
          <w:szCs w:val="24"/>
        </w:rPr>
        <w:t>O</w:t>
      </w:r>
      <w:r w:rsidRPr="00513D91">
        <w:rPr>
          <w:rFonts w:cs="Times New Roman"/>
          <w:sz w:val="24"/>
          <w:szCs w:val="24"/>
        </w:rPr>
        <w:t>th</w:t>
      </w:r>
      <w:r w:rsidR="007562D6" w:rsidRPr="00513D91">
        <w:rPr>
          <w:rFonts w:cs="Times New Roman"/>
          <w:sz w:val="24"/>
          <w:szCs w:val="24"/>
        </w:rPr>
        <w:t>er researchers have used student-</w:t>
      </w:r>
      <w:r w:rsidRPr="00513D91">
        <w:rPr>
          <w:rFonts w:cs="Times New Roman"/>
          <w:sz w:val="24"/>
          <w:szCs w:val="24"/>
        </w:rPr>
        <w:t>level performance data (in contrast to the school and b</w:t>
      </w:r>
      <w:r w:rsidR="00012D17">
        <w:rPr>
          <w:rFonts w:cs="Times New Roman"/>
          <w:sz w:val="24"/>
          <w:szCs w:val="24"/>
        </w:rPr>
        <w:t>orough data used in this study)</w:t>
      </w:r>
      <w:r w:rsidRPr="00513D91">
        <w:rPr>
          <w:rFonts w:cs="Times New Roman"/>
          <w:sz w:val="24"/>
          <w:szCs w:val="24"/>
        </w:rPr>
        <w:t xml:space="preserve"> to document that </w:t>
      </w:r>
      <w:r w:rsidR="00931721" w:rsidRPr="00513D91">
        <w:rPr>
          <w:rFonts w:cs="Times New Roman"/>
          <w:sz w:val="24"/>
          <w:szCs w:val="24"/>
        </w:rPr>
        <w:t>low-income pupils in the Inner London boroughs have experienced greater growth in achievement over the last 15 years than other groups of London students (</w:t>
      </w:r>
      <w:r w:rsidR="00DB4FAD">
        <w:rPr>
          <w:rFonts w:cs="Times New Roman"/>
          <w:sz w:val="24"/>
          <w:szCs w:val="24"/>
        </w:rPr>
        <w:t>Blanden, 2015).</w:t>
      </w:r>
      <w:r w:rsidR="00931721" w:rsidRPr="00513D91">
        <w:rPr>
          <w:rFonts w:cs="Times New Roman"/>
          <w:sz w:val="24"/>
          <w:szCs w:val="24"/>
        </w:rPr>
        <w:t xml:space="preserve">  </w:t>
      </w:r>
      <w:r w:rsidR="00FE2E00">
        <w:rPr>
          <w:rFonts w:cs="Times New Roman"/>
          <w:sz w:val="24"/>
          <w:szCs w:val="24"/>
        </w:rPr>
        <w:t xml:space="preserve">Other factors must explain those gains. </w:t>
      </w:r>
      <w:r w:rsidR="00931721" w:rsidRPr="00513D91">
        <w:rPr>
          <w:rFonts w:cs="Times New Roman"/>
          <w:sz w:val="24"/>
          <w:szCs w:val="24"/>
        </w:rPr>
        <w:t xml:space="preserve">  </w:t>
      </w:r>
    </w:p>
    <w:p w14:paraId="34C5AA2D" w14:textId="79E919E0" w:rsidR="00DF5403" w:rsidRDefault="00480F90" w:rsidP="007B45D7">
      <w:pPr>
        <w:rPr>
          <w:rFonts w:cs="Times New Roman"/>
          <w:sz w:val="24"/>
          <w:szCs w:val="24"/>
        </w:rPr>
      </w:pPr>
      <w:r w:rsidRPr="00513D91">
        <w:rPr>
          <w:rFonts w:cs="Times New Roman"/>
          <w:sz w:val="24"/>
          <w:szCs w:val="24"/>
        </w:rPr>
        <w:t>In addition to altering the mix of pupils in the schools, a growing and vibrant community may also improve educational outcomes in other less direct ways.  For example,</w:t>
      </w:r>
      <w:r w:rsidR="007562D6" w:rsidRPr="00513D91">
        <w:rPr>
          <w:rFonts w:cs="Times New Roman"/>
          <w:sz w:val="24"/>
          <w:szCs w:val="24"/>
        </w:rPr>
        <w:t xml:space="preserve"> a borough that is becoming a</w:t>
      </w:r>
      <w:r w:rsidRPr="00513D91">
        <w:rPr>
          <w:rFonts w:cs="Times New Roman"/>
          <w:sz w:val="24"/>
          <w:szCs w:val="24"/>
        </w:rPr>
        <w:t>n increasingly attractive location for young professionals</w:t>
      </w:r>
      <w:r w:rsidR="007562D6" w:rsidRPr="00513D91">
        <w:rPr>
          <w:rFonts w:cs="Times New Roman"/>
          <w:sz w:val="24"/>
          <w:szCs w:val="24"/>
        </w:rPr>
        <w:t xml:space="preserve"> may have an easier time attracting </w:t>
      </w:r>
      <w:r w:rsidRPr="00513D91">
        <w:rPr>
          <w:rFonts w:cs="Times New Roman"/>
          <w:sz w:val="24"/>
          <w:szCs w:val="24"/>
        </w:rPr>
        <w:t xml:space="preserve">high quality headteachers (school principals) and teachers eager to live and work in the community. Of course, continuing gentrification can eventually also work in the other direction </w:t>
      </w:r>
      <w:r w:rsidR="007562D6" w:rsidRPr="00513D91">
        <w:rPr>
          <w:rFonts w:cs="Times New Roman"/>
          <w:sz w:val="24"/>
          <w:szCs w:val="24"/>
        </w:rPr>
        <w:t xml:space="preserve">by leading </w:t>
      </w:r>
      <w:r w:rsidRPr="00513D91">
        <w:rPr>
          <w:rFonts w:cs="Times New Roman"/>
          <w:sz w:val="24"/>
          <w:szCs w:val="24"/>
        </w:rPr>
        <w:t xml:space="preserve">to rising housing prices that over time </w:t>
      </w:r>
      <w:r w:rsidR="009E6DF2">
        <w:rPr>
          <w:rFonts w:cs="Times New Roman"/>
          <w:sz w:val="24"/>
          <w:szCs w:val="24"/>
        </w:rPr>
        <w:t xml:space="preserve">become </w:t>
      </w:r>
      <w:r w:rsidRPr="00513D91">
        <w:rPr>
          <w:rFonts w:cs="Times New Roman"/>
          <w:sz w:val="24"/>
          <w:szCs w:val="24"/>
        </w:rPr>
        <w:t xml:space="preserve">out of the reach of many teachers.  </w:t>
      </w:r>
      <w:r w:rsidR="0021580C" w:rsidRPr="00513D91">
        <w:rPr>
          <w:rFonts w:cs="Times New Roman"/>
          <w:sz w:val="24"/>
          <w:szCs w:val="24"/>
        </w:rPr>
        <w:t>As we will see below, the ability to be selective in hiri</w:t>
      </w:r>
      <w:r w:rsidR="009E6DF2">
        <w:rPr>
          <w:rFonts w:cs="Times New Roman"/>
          <w:sz w:val="24"/>
          <w:szCs w:val="24"/>
        </w:rPr>
        <w:t>ng head</w:t>
      </w:r>
      <w:r w:rsidR="0021580C" w:rsidRPr="00513D91">
        <w:rPr>
          <w:rFonts w:cs="Times New Roman"/>
          <w:sz w:val="24"/>
          <w:szCs w:val="24"/>
        </w:rPr>
        <w:t>teachers and teachers was an important contributor to th</w:t>
      </w:r>
      <w:r w:rsidR="009E6DF2">
        <w:rPr>
          <w:rFonts w:cs="Times New Roman"/>
          <w:sz w:val="24"/>
          <w:szCs w:val="24"/>
        </w:rPr>
        <w:t xml:space="preserve">e turnaround in both boroughs. </w:t>
      </w:r>
      <w:r w:rsidR="004E5C3E">
        <w:rPr>
          <w:rFonts w:cs="Times New Roman"/>
          <w:sz w:val="24"/>
          <w:szCs w:val="24"/>
        </w:rPr>
        <w:t xml:space="preserve">Hence, although </w:t>
      </w:r>
      <w:r w:rsidR="0021580C" w:rsidRPr="00513D91">
        <w:rPr>
          <w:rFonts w:cs="Times New Roman"/>
          <w:sz w:val="24"/>
          <w:szCs w:val="24"/>
        </w:rPr>
        <w:t xml:space="preserve">gentrification of the two boroughs </w:t>
      </w:r>
      <w:r w:rsidR="004E5C3E">
        <w:rPr>
          <w:rFonts w:cs="Times New Roman"/>
          <w:sz w:val="24"/>
          <w:szCs w:val="24"/>
        </w:rPr>
        <w:t xml:space="preserve">may not be a major contributor to their </w:t>
      </w:r>
      <w:r w:rsidR="0021580C" w:rsidRPr="00513D91">
        <w:rPr>
          <w:rFonts w:cs="Times New Roman"/>
          <w:sz w:val="24"/>
          <w:szCs w:val="24"/>
        </w:rPr>
        <w:t>turnaround</w:t>
      </w:r>
      <w:r w:rsidR="004E5C3E">
        <w:rPr>
          <w:rFonts w:cs="Times New Roman"/>
          <w:sz w:val="24"/>
          <w:szCs w:val="24"/>
        </w:rPr>
        <w:t>s</w:t>
      </w:r>
      <w:r w:rsidR="0021580C" w:rsidRPr="00513D91">
        <w:rPr>
          <w:rFonts w:cs="Times New Roman"/>
          <w:sz w:val="24"/>
          <w:szCs w:val="24"/>
        </w:rPr>
        <w:t xml:space="preserve">, it clearly facilitated </w:t>
      </w:r>
      <w:r w:rsidR="004E5C3E">
        <w:rPr>
          <w:rFonts w:cs="Times New Roman"/>
          <w:sz w:val="24"/>
          <w:szCs w:val="24"/>
        </w:rPr>
        <w:t xml:space="preserve">them.  </w:t>
      </w:r>
      <w:r w:rsidR="0021580C" w:rsidRPr="00513D91">
        <w:rPr>
          <w:rFonts w:cs="Times New Roman"/>
          <w:sz w:val="24"/>
          <w:szCs w:val="24"/>
        </w:rPr>
        <w:t xml:space="preserve"> </w:t>
      </w:r>
    </w:p>
    <w:p w14:paraId="095AA472" w14:textId="77777777" w:rsidR="0024570B" w:rsidRDefault="0024570B" w:rsidP="003E26C2">
      <w:pPr>
        <w:rPr>
          <w:rFonts w:cs="Times New Roman"/>
          <w:sz w:val="24"/>
          <w:szCs w:val="24"/>
        </w:rPr>
      </w:pPr>
    </w:p>
    <w:p w14:paraId="75636893" w14:textId="77777777" w:rsidR="00E0643C" w:rsidRPr="009E6DF2" w:rsidRDefault="005C4C6C" w:rsidP="003E26C2">
      <w:pPr>
        <w:rPr>
          <w:rFonts w:cs="Times New Roman"/>
          <w:i/>
          <w:sz w:val="28"/>
          <w:szCs w:val="28"/>
        </w:rPr>
      </w:pPr>
      <w:r w:rsidRPr="009E6DF2">
        <w:rPr>
          <w:rFonts w:cs="Times New Roman"/>
          <w:b/>
          <w:sz w:val="28"/>
          <w:szCs w:val="28"/>
        </w:rPr>
        <w:t xml:space="preserve">Significant increases </w:t>
      </w:r>
      <w:r w:rsidR="00E0643C" w:rsidRPr="009E6DF2">
        <w:rPr>
          <w:rFonts w:cs="Times New Roman"/>
          <w:b/>
          <w:sz w:val="28"/>
          <w:szCs w:val="28"/>
        </w:rPr>
        <w:t xml:space="preserve">in school funding </w:t>
      </w:r>
      <w:r w:rsidR="00931721" w:rsidRPr="009E6DF2">
        <w:rPr>
          <w:rFonts w:cs="Times New Roman"/>
          <w:b/>
          <w:sz w:val="28"/>
          <w:szCs w:val="28"/>
        </w:rPr>
        <w:t xml:space="preserve"> </w:t>
      </w:r>
    </w:p>
    <w:p w14:paraId="01AFD454" w14:textId="77777777" w:rsidR="00D62F79" w:rsidRDefault="0021580C" w:rsidP="006A545F">
      <w:pPr>
        <w:contextualSpacing/>
        <w:rPr>
          <w:rFonts w:cs="Times New Roman"/>
          <w:sz w:val="24"/>
          <w:szCs w:val="24"/>
        </w:rPr>
      </w:pPr>
      <w:r>
        <w:rPr>
          <w:rFonts w:cs="Times New Roman"/>
          <w:sz w:val="24"/>
          <w:szCs w:val="24"/>
        </w:rPr>
        <w:t>Another factor that facilitated the change in both boroughs was the dramatic increase in school funding</w:t>
      </w:r>
      <w:r w:rsidR="00853146">
        <w:rPr>
          <w:rFonts w:cs="Times New Roman"/>
          <w:sz w:val="24"/>
          <w:szCs w:val="24"/>
        </w:rPr>
        <w:t xml:space="preserve"> during the period</w:t>
      </w:r>
      <w:r>
        <w:rPr>
          <w:rFonts w:cs="Times New Roman"/>
          <w:sz w:val="24"/>
          <w:szCs w:val="24"/>
        </w:rPr>
        <w:t xml:space="preserve">. </w:t>
      </w:r>
      <w:r w:rsidR="00D62F79">
        <w:rPr>
          <w:rFonts w:cs="Times New Roman"/>
          <w:sz w:val="24"/>
          <w:szCs w:val="24"/>
        </w:rPr>
        <w:t>The government provides funding to local authorities who then distribute the funds to individual schools using borough-specific allocation formulas</w:t>
      </w:r>
      <w:r w:rsidR="00224A90">
        <w:rPr>
          <w:rFonts w:cs="Times New Roman"/>
          <w:sz w:val="24"/>
          <w:szCs w:val="24"/>
        </w:rPr>
        <w:t>.</w:t>
      </w:r>
      <w:r w:rsidR="00D62F79">
        <w:rPr>
          <w:rFonts w:cs="Times New Roman"/>
          <w:sz w:val="24"/>
          <w:szCs w:val="24"/>
        </w:rPr>
        <w:t xml:space="preserve"> </w:t>
      </w:r>
      <w:r w:rsidR="00991E26">
        <w:rPr>
          <w:rFonts w:cs="Times New Roman"/>
          <w:sz w:val="24"/>
          <w:szCs w:val="24"/>
        </w:rPr>
        <w:t xml:space="preserve">Schools then </w:t>
      </w:r>
      <w:r w:rsidR="00D62F79">
        <w:rPr>
          <w:rFonts w:cs="Times New Roman"/>
          <w:sz w:val="24"/>
          <w:szCs w:val="24"/>
        </w:rPr>
        <w:t xml:space="preserve">have substantial control over how to spend the money. </w:t>
      </w:r>
    </w:p>
    <w:p w14:paraId="517156FB" w14:textId="77777777" w:rsidR="00D62F79" w:rsidRDefault="00D62F79" w:rsidP="006A545F">
      <w:pPr>
        <w:contextualSpacing/>
        <w:rPr>
          <w:rFonts w:cs="Times New Roman"/>
          <w:sz w:val="24"/>
          <w:szCs w:val="24"/>
        </w:rPr>
      </w:pPr>
    </w:p>
    <w:p w14:paraId="0422CB6F" w14:textId="77777777" w:rsidR="00F4110B" w:rsidRDefault="00E0643C" w:rsidP="006A545F">
      <w:pPr>
        <w:contextualSpacing/>
        <w:rPr>
          <w:rFonts w:cs="Times New Roman"/>
          <w:sz w:val="24"/>
          <w:szCs w:val="24"/>
        </w:rPr>
      </w:pPr>
      <w:r>
        <w:rPr>
          <w:rFonts w:cs="Times New Roman"/>
          <w:sz w:val="24"/>
          <w:szCs w:val="24"/>
        </w:rPr>
        <w:t>The Labour</w:t>
      </w:r>
      <w:r w:rsidR="00853146">
        <w:rPr>
          <w:rFonts w:cs="Times New Roman"/>
          <w:sz w:val="24"/>
          <w:szCs w:val="24"/>
        </w:rPr>
        <w:t xml:space="preserve"> Government, which governed between 1997 and 2010, </w:t>
      </w:r>
      <w:r w:rsidR="00D62F79">
        <w:rPr>
          <w:rFonts w:cs="Times New Roman"/>
          <w:sz w:val="24"/>
          <w:szCs w:val="24"/>
        </w:rPr>
        <w:t xml:space="preserve">poured </w:t>
      </w:r>
      <w:r>
        <w:rPr>
          <w:rFonts w:cs="Times New Roman"/>
          <w:sz w:val="24"/>
          <w:szCs w:val="24"/>
        </w:rPr>
        <w:t>huge amo</w:t>
      </w:r>
      <w:r w:rsidR="005C4C6C">
        <w:rPr>
          <w:rFonts w:cs="Times New Roman"/>
          <w:sz w:val="24"/>
          <w:szCs w:val="24"/>
        </w:rPr>
        <w:t xml:space="preserve">unts </w:t>
      </w:r>
      <w:r>
        <w:rPr>
          <w:rFonts w:cs="Times New Roman"/>
          <w:sz w:val="24"/>
          <w:szCs w:val="24"/>
        </w:rPr>
        <w:t>of money into education</w:t>
      </w:r>
      <w:r w:rsidR="00853146">
        <w:rPr>
          <w:rFonts w:cs="Times New Roman"/>
          <w:sz w:val="24"/>
          <w:szCs w:val="24"/>
        </w:rPr>
        <w:t xml:space="preserve">, with the new funding heavily weighted toward </w:t>
      </w:r>
      <w:r w:rsidR="00991E26">
        <w:rPr>
          <w:rFonts w:cs="Times New Roman"/>
          <w:sz w:val="24"/>
          <w:szCs w:val="24"/>
        </w:rPr>
        <w:t xml:space="preserve">disadvantaged students. </w:t>
      </w:r>
      <w:r w:rsidR="00482D4E">
        <w:rPr>
          <w:rFonts w:cs="Times New Roman"/>
          <w:sz w:val="24"/>
          <w:szCs w:val="24"/>
        </w:rPr>
        <w:t xml:space="preserve">Starting with </w:t>
      </w:r>
      <w:r w:rsidR="00991E26">
        <w:rPr>
          <w:rFonts w:cs="Times New Roman"/>
          <w:sz w:val="24"/>
          <w:szCs w:val="24"/>
        </w:rPr>
        <w:t xml:space="preserve">2011-2012 school year, </w:t>
      </w:r>
      <w:r w:rsidR="00F90516">
        <w:rPr>
          <w:rFonts w:cs="Times New Roman"/>
          <w:sz w:val="24"/>
          <w:szCs w:val="24"/>
        </w:rPr>
        <w:t xml:space="preserve">the coalition government </w:t>
      </w:r>
      <w:r w:rsidR="009C4E0C">
        <w:rPr>
          <w:rFonts w:cs="Times New Roman"/>
          <w:sz w:val="24"/>
          <w:szCs w:val="24"/>
        </w:rPr>
        <w:t xml:space="preserve">introduced an explicit </w:t>
      </w:r>
      <w:r w:rsidR="009E6DF2">
        <w:rPr>
          <w:rFonts w:cs="Times New Roman"/>
          <w:sz w:val="24"/>
          <w:szCs w:val="24"/>
        </w:rPr>
        <w:t>“</w:t>
      </w:r>
      <w:r w:rsidR="009C4E0C">
        <w:rPr>
          <w:rFonts w:cs="Times New Roman"/>
          <w:sz w:val="24"/>
          <w:szCs w:val="24"/>
        </w:rPr>
        <w:t>pupil premium</w:t>
      </w:r>
      <w:r w:rsidR="009E6DF2">
        <w:rPr>
          <w:rFonts w:cs="Times New Roman"/>
          <w:sz w:val="24"/>
          <w:szCs w:val="24"/>
        </w:rPr>
        <w:t>”</w:t>
      </w:r>
      <w:r w:rsidR="009C4E0C">
        <w:rPr>
          <w:rFonts w:cs="Times New Roman"/>
          <w:sz w:val="24"/>
          <w:szCs w:val="24"/>
        </w:rPr>
        <w:t xml:space="preserve"> for all disadvantaged students, where disadvantaged is broadly defined to include any pupil whose family was eligible for free school meals during any of the preceding six years.  </w:t>
      </w:r>
      <w:r w:rsidR="00991E26">
        <w:rPr>
          <w:rFonts w:cs="Times New Roman"/>
          <w:sz w:val="24"/>
          <w:szCs w:val="24"/>
        </w:rPr>
        <w:t xml:space="preserve">The amount </w:t>
      </w:r>
      <w:r w:rsidR="00482D4E">
        <w:rPr>
          <w:rFonts w:cs="Times New Roman"/>
          <w:sz w:val="24"/>
          <w:szCs w:val="24"/>
        </w:rPr>
        <w:t xml:space="preserve">was </w:t>
      </w:r>
      <w:r w:rsidR="00991E26">
        <w:rPr>
          <w:rFonts w:cs="Times New Roman"/>
          <w:sz w:val="24"/>
          <w:szCs w:val="24"/>
        </w:rPr>
        <w:t xml:space="preserve">initially £430 and, by 2014, had been increased to £1300 per primary school pupil. </w:t>
      </w:r>
      <w:r w:rsidR="009C4E0C">
        <w:rPr>
          <w:rFonts w:cs="Times New Roman"/>
          <w:sz w:val="24"/>
          <w:szCs w:val="24"/>
        </w:rPr>
        <w:t xml:space="preserve"> Even before then, however, funding was differentially targeted toward schools serving </w:t>
      </w:r>
      <w:r w:rsidR="009C4E0C">
        <w:rPr>
          <w:rFonts w:cs="Times New Roman"/>
          <w:sz w:val="24"/>
          <w:szCs w:val="24"/>
        </w:rPr>
        <w:lastRenderedPageBreak/>
        <w:t xml:space="preserve">disadvantaged pupils.  </w:t>
      </w:r>
      <w:r w:rsidR="00853146">
        <w:rPr>
          <w:rFonts w:cs="Times New Roman"/>
          <w:sz w:val="24"/>
          <w:szCs w:val="24"/>
        </w:rPr>
        <w:t xml:space="preserve">Between 2000 </w:t>
      </w:r>
      <w:r w:rsidR="007562D6">
        <w:rPr>
          <w:rFonts w:cs="Times New Roman"/>
          <w:sz w:val="24"/>
          <w:szCs w:val="24"/>
        </w:rPr>
        <w:t xml:space="preserve">and </w:t>
      </w:r>
      <w:r w:rsidR="00853146">
        <w:rPr>
          <w:rFonts w:cs="Times New Roman"/>
          <w:sz w:val="24"/>
          <w:szCs w:val="24"/>
        </w:rPr>
        <w:t xml:space="preserve">2013, per pupil funding </w:t>
      </w:r>
      <w:r w:rsidR="00F90516">
        <w:rPr>
          <w:rFonts w:cs="Times New Roman"/>
          <w:sz w:val="24"/>
          <w:szCs w:val="24"/>
        </w:rPr>
        <w:t xml:space="preserve"> for primary school students </w:t>
      </w:r>
      <w:r w:rsidR="00853146">
        <w:rPr>
          <w:rFonts w:cs="Times New Roman"/>
          <w:sz w:val="24"/>
          <w:szCs w:val="24"/>
        </w:rPr>
        <w:t xml:space="preserve">rose by 69 percent in </w:t>
      </w:r>
      <w:r w:rsidR="00482D4E">
        <w:rPr>
          <w:rFonts w:cs="Times New Roman"/>
          <w:sz w:val="24"/>
          <w:szCs w:val="24"/>
        </w:rPr>
        <w:t xml:space="preserve">inflation-adjusted </w:t>
      </w:r>
      <w:r w:rsidR="00853146">
        <w:rPr>
          <w:rFonts w:cs="Times New Roman"/>
          <w:sz w:val="24"/>
          <w:szCs w:val="24"/>
        </w:rPr>
        <w:t>terms</w:t>
      </w:r>
      <w:r w:rsidR="00F90516">
        <w:rPr>
          <w:rFonts w:cs="Times New Roman"/>
          <w:sz w:val="24"/>
          <w:szCs w:val="24"/>
        </w:rPr>
        <w:t xml:space="preserve">, with funding rising by more than 83 </w:t>
      </w:r>
      <w:r w:rsidR="00991E26">
        <w:rPr>
          <w:rFonts w:cs="Times New Roman"/>
          <w:sz w:val="24"/>
          <w:szCs w:val="24"/>
        </w:rPr>
        <w:t>p</w:t>
      </w:r>
      <w:r w:rsidR="00F90516">
        <w:rPr>
          <w:rFonts w:cs="Times New Roman"/>
          <w:sz w:val="24"/>
          <w:szCs w:val="24"/>
        </w:rPr>
        <w:t xml:space="preserve">ercent in the most deprived quintile of schools compared to 56 percent in the least deprived quintile </w:t>
      </w:r>
      <w:r w:rsidR="00F90516" w:rsidRPr="00F90516">
        <w:rPr>
          <w:rFonts w:cs="Times New Roman"/>
          <w:sz w:val="24"/>
          <w:szCs w:val="24"/>
        </w:rPr>
        <w:t>(</w:t>
      </w:r>
      <w:r w:rsidR="00853146" w:rsidRPr="00F90516">
        <w:rPr>
          <w:rFonts w:cs="Times New Roman"/>
          <w:sz w:val="24"/>
          <w:szCs w:val="24"/>
        </w:rPr>
        <w:t>Subieta, 2015</w:t>
      </w:r>
      <w:r w:rsidR="00F90516" w:rsidRPr="00F90516">
        <w:rPr>
          <w:rFonts w:cs="Times New Roman"/>
          <w:sz w:val="24"/>
          <w:szCs w:val="24"/>
        </w:rPr>
        <w:t>, Tables 1 and 2)</w:t>
      </w:r>
      <w:r w:rsidR="009C4E0C" w:rsidRPr="00F90516">
        <w:rPr>
          <w:rFonts w:cs="Times New Roman"/>
          <w:sz w:val="24"/>
          <w:szCs w:val="24"/>
        </w:rPr>
        <w:t>.</w:t>
      </w:r>
      <w:r w:rsidR="009C4E0C">
        <w:rPr>
          <w:rFonts w:cs="Times New Roman"/>
          <w:sz w:val="24"/>
          <w:szCs w:val="24"/>
        </w:rPr>
        <w:t xml:space="preserve"> </w:t>
      </w:r>
      <w:r w:rsidR="00853146">
        <w:rPr>
          <w:rFonts w:cs="Times New Roman"/>
          <w:sz w:val="24"/>
          <w:szCs w:val="24"/>
        </w:rPr>
        <w:t xml:space="preserve"> </w:t>
      </w:r>
    </w:p>
    <w:p w14:paraId="45E30930" w14:textId="77777777" w:rsidR="009C4E0C" w:rsidRDefault="009C4E0C" w:rsidP="00E0643C">
      <w:pPr>
        <w:ind w:left="360"/>
        <w:contextualSpacing/>
        <w:rPr>
          <w:rFonts w:cs="Times New Roman"/>
          <w:sz w:val="24"/>
          <w:szCs w:val="24"/>
        </w:rPr>
      </w:pPr>
    </w:p>
    <w:p w14:paraId="31E44231" w14:textId="77777777" w:rsidR="00F4110B" w:rsidRDefault="009C4E0C" w:rsidP="009C4E0C">
      <w:pPr>
        <w:contextualSpacing/>
        <w:rPr>
          <w:rFonts w:cs="Times New Roman"/>
          <w:sz w:val="24"/>
          <w:szCs w:val="24"/>
        </w:rPr>
      </w:pPr>
      <w:r>
        <w:rPr>
          <w:rFonts w:cs="Times New Roman"/>
          <w:sz w:val="24"/>
          <w:szCs w:val="24"/>
        </w:rPr>
        <w:t xml:space="preserve">The following table, which is based on 2011 data, shows that Hackney and Tower Hamlets were advantaged relative </w:t>
      </w:r>
      <w:r w:rsidR="005C4C6C">
        <w:rPr>
          <w:rFonts w:cs="Times New Roman"/>
          <w:sz w:val="24"/>
          <w:szCs w:val="24"/>
        </w:rPr>
        <w:t xml:space="preserve">both to </w:t>
      </w:r>
      <w:r>
        <w:rPr>
          <w:rFonts w:cs="Times New Roman"/>
          <w:sz w:val="24"/>
          <w:szCs w:val="24"/>
        </w:rPr>
        <w:t xml:space="preserve">London and to the rest of England in terms of </w:t>
      </w:r>
      <w:r w:rsidR="00EB69CC">
        <w:rPr>
          <w:rFonts w:cs="Times New Roman"/>
          <w:sz w:val="24"/>
          <w:szCs w:val="24"/>
        </w:rPr>
        <w:t>resources for primary schools. Moreover, it documents that schools serving high proportions of pupils eligible for free school meals had access to more resources than those with lower proportions</w:t>
      </w:r>
      <w:r w:rsidR="007A3C17">
        <w:rPr>
          <w:rFonts w:cs="Times New Roman"/>
          <w:sz w:val="24"/>
          <w:szCs w:val="24"/>
        </w:rPr>
        <w:t xml:space="preserve"> throughout the country. T</w:t>
      </w:r>
      <w:r w:rsidR="00EB69CC">
        <w:rPr>
          <w:rFonts w:cs="Times New Roman"/>
          <w:sz w:val="24"/>
          <w:szCs w:val="24"/>
        </w:rPr>
        <w:t>he above</w:t>
      </w:r>
      <w:r w:rsidR="005C4C6C">
        <w:rPr>
          <w:rFonts w:cs="Times New Roman"/>
          <w:sz w:val="24"/>
          <w:szCs w:val="24"/>
        </w:rPr>
        <w:t>-</w:t>
      </w:r>
      <w:r w:rsidR="00EB69CC">
        <w:rPr>
          <w:rFonts w:cs="Times New Roman"/>
          <w:sz w:val="24"/>
          <w:szCs w:val="24"/>
        </w:rPr>
        <w:t xml:space="preserve"> average resources in Hackney and Tower Hamlets translated into smaller class sizes </w:t>
      </w:r>
      <w:r w:rsidR="00383795">
        <w:rPr>
          <w:rFonts w:cs="Times New Roman"/>
          <w:sz w:val="24"/>
          <w:szCs w:val="24"/>
        </w:rPr>
        <w:t>in Tower Hamlets as indicated by the pupil/teacher ratio (but not in Hackney in 2011)</w:t>
      </w:r>
      <w:r w:rsidR="00383795">
        <w:rPr>
          <w:rStyle w:val="FootnoteReference"/>
          <w:rFonts w:cs="Times New Roman"/>
          <w:sz w:val="24"/>
          <w:szCs w:val="24"/>
        </w:rPr>
        <w:footnoteReference w:id="12"/>
      </w:r>
      <w:r w:rsidR="00383795">
        <w:rPr>
          <w:rFonts w:cs="Times New Roman"/>
          <w:sz w:val="24"/>
          <w:szCs w:val="24"/>
        </w:rPr>
        <w:t xml:space="preserve"> </w:t>
      </w:r>
      <w:r w:rsidR="00EB69CC">
        <w:rPr>
          <w:rFonts w:cs="Times New Roman"/>
          <w:sz w:val="24"/>
          <w:szCs w:val="24"/>
        </w:rPr>
        <w:t xml:space="preserve">and more teacher assistants per teacher. Teachers are paid according to a national salary schedule that provides higher salaries for teachers in London, where living costs are high.  </w:t>
      </w:r>
      <w:r>
        <w:rPr>
          <w:rFonts w:cs="Times New Roman"/>
          <w:sz w:val="24"/>
          <w:szCs w:val="24"/>
        </w:rPr>
        <w:t xml:space="preserve">  </w:t>
      </w:r>
    </w:p>
    <w:p w14:paraId="1CCC1DC8" w14:textId="77777777" w:rsidR="006A545F" w:rsidRDefault="006A545F" w:rsidP="00E0643C">
      <w:pPr>
        <w:ind w:left="360"/>
        <w:contextualSpacing/>
        <w:rPr>
          <w:rFonts w:cs="Times New Roman"/>
          <w:sz w:val="24"/>
          <w:szCs w:val="24"/>
        </w:rPr>
      </w:pPr>
    </w:p>
    <w:tbl>
      <w:tblPr>
        <w:tblStyle w:val="TableGrid"/>
        <w:tblW w:w="0" w:type="auto"/>
        <w:tblInd w:w="360" w:type="dxa"/>
        <w:tblLook w:val="04A0" w:firstRow="1" w:lastRow="0" w:firstColumn="1" w:lastColumn="0" w:noHBand="0" w:noVBand="1"/>
      </w:tblPr>
      <w:tblGrid>
        <w:gridCol w:w="1327"/>
        <w:gridCol w:w="1720"/>
        <w:gridCol w:w="1708"/>
        <w:gridCol w:w="1553"/>
        <w:gridCol w:w="1341"/>
      </w:tblGrid>
      <w:tr w:rsidR="001C5753" w14:paraId="40D45EDE" w14:textId="77777777" w:rsidTr="00A87FDC">
        <w:tc>
          <w:tcPr>
            <w:tcW w:w="7649" w:type="dxa"/>
            <w:gridSpan w:val="5"/>
          </w:tcPr>
          <w:p w14:paraId="5D9F3C2C" w14:textId="616900B2" w:rsidR="001C5753" w:rsidRPr="00383795" w:rsidRDefault="001C5753" w:rsidP="00D535B4">
            <w:pPr>
              <w:contextualSpacing/>
              <w:rPr>
                <w:rFonts w:cs="Times New Roman"/>
                <w:b/>
                <w:sz w:val="24"/>
                <w:szCs w:val="24"/>
              </w:rPr>
            </w:pPr>
            <w:r w:rsidRPr="00383795">
              <w:rPr>
                <w:rFonts w:cs="Times New Roman"/>
                <w:b/>
                <w:sz w:val="24"/>
                <w:szCs w:val="24"/>
              </w:rPr>
              <w:t xml:space="preserve">Table </w:t>
            </w:r>
            <w:r w:rsidR="00383795" w:rsidRPr="00383795">
              <w:rPr>
                <w:rFonts w:cs="Times New Roman"/>
                <w:b/>
                <w:sz w:val="24"/>
                <w:szCs w:val="24"/>
              </w:rPr>
              <w:t>3. Grant funding and resources, 2011</w:t>
            </w:r>
          </w:p>
        </w:tc>
      </w:tr>
      <w:tr w:rsidR="006A545F" w14:paraId="3C2685F8" w14:textId="77777777" w:rsidTr="006A545F">
        <w:tc>
          <w:tcPr>
            <w:tcW w:w="1327" w:type="dxa"/>
          </w:tcPr>
          <w:p w14:paraId="2E48404B" w14:textId="77777777" w:rsidR="006A545F" w:rsidRDefault="00EB69CC" w:rsidP="00E0643C">
            <w:pPr>
              <w:contextualSpacing/>
              <w:rPr>
                <w:rFonts w:cs="Times New Roman"/>
                <w:sz w:val="24"/>
                <w:szCs w:val="24"/>
              </w:rPr>
            </w:pPr>
            <w:r>
              <w:rPr>
                <w:rFonts w:cs="Times New Roman"/>
                <w:sz w:val="24"/>
                <w:szCs w:val="24"/>
              </w:rPr>
              <w:t xml:space="preserve">2011 </w:t>
            </w:r>
          </w:p>
        </w:tc>
        <w:tc>
          <w:tcPr>
            <w:tcW w:w="1720" w:type="dxa"/>
          </w:tcPr>
          <w:p w14:paraId="24D74854" w14:textId="77777777" w:rsidR="006A545F" w:rsidRDefault="006A545F" w:rsidP="00E0643C">
            <w:pPr>
              <w:contextualSpacing/>
              <w:rPr>
                <w:rFonts w:cs="Times New Roman"/>
                <w:sz w:val="24"/>
                <w:szCs w:val="24"/>
              </w:rPr>
            </w:pPr>
            <w:r>
              <w:rPr>
                <w:rFonts w:cs="Times New Roman"/>
                <w:sz w:val="24"/>
                <w:szCs w:val="24"/>
              </w:rPr>
              <w:t>Hackney</w:t>
            </w:r>
          </w:p>
        </w:tc>
        <w:tc>
          <w:tcPr>
            <w:tcW w:w="1708" w:type="dxa"/>
          </w:tcPr>
          <w:p w14:paraId="71FE7223" w14:textId="77777777" w:rsidR="006A545F" w:rsidRDefault="006A545F" w:rsidP="00E0643C">
            <w:pPr>
              <w:contextualSpacing/>
              <w:rPr>
                <w:rFonts w:cs="Times New Roman"/>
                <w:sz w:val="24"/>
                <w:szCs w:val="24"/>
              </w:rPr>
            </w:pPr>
            <w:r>
              <w:rPr>
                <w:rFonts w:cs="Times New Roman"/>
                <w:sz w:val="24"/>
                <w:szCs w:val="24"/>
              </w:rPr>
              <w:t>Tower Hamlets</w:t>
            </w:r>
          </w:p>
        </w:tc>
        <w:tc>
          <w:tcPr>
            <w:tcW w:w="1553" w:type="dxa"/>
          </w:tcPr>
          <w:p w14:paraId="496DAEB0" w14:textId="77777777" w:rsidR="006A545F" w:rsidRDefault="006A545F" w:rsidP="00E0643C">
            <w:pPr>
              <w:contextualSpacing/>
              <w:rPr>
                <w:rFonts w:cs="Times New Roman"/>
                <w:sz w:val="24"/>
                <w:szCs w:val="24"/>
              </w:rPr>
            </w:pPr>
            <w:r>
              <w:rPr>
                <w:rFonts w:cs="Times New Roman"/>
                <w:sz w:val="24"/>
                <w:szCs w:val="24"/>
              </w:rPr>
              <w:t xml:space="preserve">London </w:t>
            </w:r>
          </w:p>
        </w:tc>
        <w:tc>
          <w:tcPr>
            <w:tcW w:w="1341" w:type="dxa"/>
          </w:tcPr>
          <w:p w14:paraId="0FD36717" w14:textId="77777777" w:rsidR="006A545F" w:rsidRDefault="006A545F" w:rsidP="00E0643C">
            <w:pPr>
              <w:contextualSpacing/>
              <w:rPr>
                <w:rFonts w:cs="Times New Roman"/>
                <w:sz w:val="24"/>
                <w:szCs w:val="24"/>
              </w:rPr>
            </w:pPr>
            <w:r>
              <w:rPr>
                <w:rFonts w:cs="Times New Roman"/>
                <w:sz w:val="24"/>
                <w:szCs w:val="24"/>
              </w:rPr>
              <w:t>Non-London</w:t>
            </w:r>
          </w:p>
        </w:tc>
      </w:tr>
      <w:tr w:rsidR="001C5753" w14:paraId="4B128AF7" w14:textId="77777777" w:rsidTr="00A87FDC">
        <w:tc>
          <w:tcPr>
            <w:tcW w:w="7649" w:type="dxa"/>
            <w:gridSpan w:val="5"/>
          </w:tcPr>
          <w:p w14:paraId="2CEE3FCE" w14:textId="144C865B" w:rsidR="001C5753" w:rsidRPr="001C5753" w:rsidRDefault="001C5753" w:rsidP="001C5753">
            <w:pPr>
              <w:contextualSpacing/>
              <w:rPr>
                <w:rFonts w:cs="Times New Roman"/>
                <w:b/>
                <w:sz w:val="24"/>
                <w:szCs w:val="24"/>
              </w:rPr>
            </w:pPr>
            <w:r w:rsidRPr="001C5753">
              <w:rPr>
                <w:rFonts w:cs="Times New Roman"/>
                <w:b/>
                <w:szCs w:val="24"/>
              </w:rPr>
              <w:t>Grant funding (per pupil)</w:t>
            </w:r>
          </w:p>
        </w:tc>
      </w:tr>
      <w:tr w:rsidR="006A545F" w14:paraId="1334D397" w14:textId="77777777" w:rsidTr="006A545F">
        <w:tc>
          <w:tcPr>
            <w:tcW w:w="1327" w:type="dxa"/>
          </w:tcPr>
          <w:p w14:paraId="216A0A5D" w14:textId="77777777" w:rsidR="006A545F" w:rsidRDefault="006A545F" w:rsidP="007A3C17">
            <w:pPr>
              <w:contextualSpacing/>
              <w:rPr>
                <w:rFonts w:cs="Times New Roman"/>
                <w:sz w:val="24"/>
                <w:szCs w:val="24"/>
              </w:rPr>
            </w:pPr>
            <w:r>
              <w:rPr>
                <w:rFonts w:cs="Times New Roman"/>
                <w:sz w:val="24"/>
                <w:szCs w:val="24"/>
              </w:rPr>
              <w:t xml:space="preserve">Low FSM (20%) </w:t>
            </w:r>
          </w:p>
        </w:tc>
        <w:tc>
          <w:tcPr>
            <w:tcW w:w="1720" w:type="dxa"/>
          </w:tcPr>
          <w:p w14:paraId="7C1C4316" w14:textId="77777777" w:rsidR="006A545F" w:rsidRDefault="001C5753" w:rsidP="00E0643C">
            <w:pPr>
              <w:contextualSpacing/>
              <w:rPr>
                <w:rFonts w:cs="Times New Roman"/>
                <w:sz w:val="24"/>
                <w:szCs w:val="24"/>
              </w:rPr>
            </w:pPr>
            <w:r>
              <w:rPr>
                <w:rFonts w:cs="Times New Roman"/>
                <w:sz w:val="24"/>
                <w:szCs w:val="24"/>
              </w:rPr>
              <w:t>£</w:t>
            </w:r>
            <w:r w:rsidR="006A545F">
              <w:rPr>
                <w:rFonts w:cs="Times New Roman"/>
                <w:sz w:val="24"/>
                <w:szCs w:val="24"/>
              </w:rPr>
              <w:t>5672</w:t>
            </w:r>
          </w:p>
        </w:tc>
        <w:tc>
          <w:tcPr>
            <w:tcW w:w="1708" w:type="dxa"/>
          </w:tcPr>
          <w:p w14:paraId="634690C3" w14:textId="77777777" w:rsidR="006A545F" w:rsidRDefault="00853146" w:rsidP="00E0643C">
            <w:pPr>
              <w:contextualSpacing/>
              <w:rPr>
                <w:rFonts w:cs="Times New Roman"/>
                <w:sz w:val="24"/>
                <w:szCs w:val="24"/>
              </w:rPr>
            </w:pPr>
            <w:r>
              <w:rPr>
                <w:rFonts w:cs="Times New Roman"/>
                <w:sz w:val="24"/>
                <w:szCs w:val="24"/>
              </w:rPr>
              <w:t>--</w:t>
            </w:r>
          </w:p>
        </w:tc>
        <w:tc>
          <w:tcPr>
            <w:tcW w:w="1553" w:type="dxa"/>
          </w:tcPr>
          <w:p w14:paraId="252C66BA" w14:textId="77777777" w:rsidR="006A545F" w:rsidRDefault="001C5753" w:rsidP="00E0643C">
            <w:pPr>
              <w:contextualSpacing/>
              <w:rPr>
                <w:rFonts w:cs="Times New Roman"/>
                <w:sz w:val="24"/>
                <w:szCs w:val="24"/>
              </w:rPr>
            </w:pPr>
            <w:r>
              <w:rPr>
                <w:rFonts w:cs="Times New Roman"/>
                <w:sz w:val="24"/>
                <w:szCs w:val="24"/>
              </w:rPr>
              <w:t>£</w:t>
            </w:r>
            <w:r w:rsidR="00853146">
              <w:rPr>
                <w:rFonts w:cs="Times New Roman"/>
                <w:sz w:val="24"/>
                <w:szCs w:val="24"/>
              </w:rPr>
              <w:t>4077</w:t>
            </w:r>
          </w:p>
        </w:tc>
        <w:tc>
          <w:tcPr>
            <w:tcW w:w="1341" w:type="dxa"/>
          </w:tcPr>
          <w:p w14:paraId="336DB7E6" w14:textId="77777777" w:rsidR="006A545F" w:rsidRDefault="001C5753" w:rsidP="00E0643C">
            <w:pPr>
              <w:contextualSpacing/>
              <w:rPr>
                <w:rFonts w:cs="Times New Roman"/>
                <w:sz w:val="24"/>
                <w:szCs w:val="24"/>
              </w:rPr>
            </w:pPr>
            <w:r>
              <w:rPr>
                <w:rFonts w:cs="Times New Roman"/>
                <w:sz w:val="24"/>
                <w:szCs w:val="24"/>
              </w:rPr>
              <w:t>£</w:t>
            </w:r>
            <w:r w:rsidR="00853146">
              <w:rPr>
                <w:rFonts w:cs="Times New Roman"/>
                <w:sz w:val="24"/>
                <w:szCs w:val="24"/>
              </w:rPr>
              <w:t>3738</w:t>
            </w:r>
          </w:p>
        </w:tc>
      </w:tr>
      <w:tr w:rsidR="006A545F" w14:paraId="499A6D24" w14:textId="77777777" w:rsidTr="006A545F">
        <w:tc>
          <w:tcPr>
            <w:tcW w:w="1327" w:type="dxa"/>
          </w:tcPr>
          <w:p w14:paraId="6CA603F2" w14:textId="77777777" w:rsidR="006A545F" w:rsidRDefault="006A545F" w:rsidP="00E0643C">
            <w:pPr>
              <w:contextualSpacing/>
              <w:rPr>
                <w:rFonts w:cs="Times New Roman"/>
                <w:sz w:val="24"/>
                <w:szCs w:val="24"/>
              </w:rPr>
            </w:pPr>
            <w:r>
              <w:rPr>
                <w:rFonts w:cs="Times New Roman"/>
                <w:sz w:val="24"/>
                <w:szCs w:val="24"/>
              </w:rPr>
              <w:t>Med. FSM</w:t>
            </w:r>
          </w:p>
        </w:tc>
        <w:tc>
          <w:tcPr>
            <w:tcW w:w="1720" w:type="dxa"/>
          </w:tcPr>
          <w:p w14:paraId="37F24EAE" w14:textId="77777777" w:rsidR="006A545F" w:rsidRDefault="001C5753" w:rsidP="00E0643C">
            <w:pPr>
              <w:contextualSpacing/>
              <w:rPr>
                <w:rFonts w:cs="Times New Roman"/>
                <w:sz w:val="24"/>
                <w:szCs w:val="24"/>
              </w:rPr>
            </w:pPr>
            <w:r>
              <w:rPr>
                <w:rFonts w:cs="Times New Roman"/>
                <w:sz w:val="24"/>
                <w:szCs w:val="24"/>
              </w:rPr>
              <w:t>£</w:t>
            </w:r>
            <w:r w:rsidR="006A545F">
              <w:rPr>
                <w:rFonts w:cs="Times New Roman"/>
                <w:sz w:val="24"/>
                <w:szCs w:val="24"/>
              </w:rPr>
              <w:t>5637</w:t>
            </w:r>
          </w:p>
        </w:tc>
        <w:tc>
          <w:tcPr>
            <w:tcW w:w="1708" w:type="dxa"/>
          </w:tcPr>
          <w:p w14:paraId="65C1351C" w14:textId="77777777" w:rsidR="006A545F" w:rsidRDefault="001C5753" w:rsidP="00E0643C">
            <w:pPr>
              <w:contextualSpacing/>
              <w:rPr>
                <w:rFonts w:cs="Times New Roman"/>
                <w:sz w:val="24"/>
                <w:szCs w:val="24"/>
              </w:rPr>
            </w:pPr>
            <w:r>
              <w:rPr>
                <w:rFonts w:cs="Times New Roman"/>
                <w:sz w:val="24"/>
                <w:szCs w:val="24"/>
              </w:rPr>
              <w:t>£</w:t>
            </w:r>
            <w:r w:rsidR="00853146">
              <w:rPr>
                <w:rFonts w:cs="Times New Roman"/>
                <w:sz w:val="24"/>
                <w:szCs w:val="24"/>
              </w:rPr>
              <w:t>5857</w:t>
            </w:r>
          </w:p>
        </w:tc>
        <w:tc>
          <w:tcPr>
            <w:tcW w:w="1553" w:type="dxa"/>
          </w:tcPr>
          <w:p w14:paraId="401F7373" w14:textId="77777777" w:rsidR="006A545F" w:rsidRDefault="001C5753" w:rsidP="001C5753">
            <w:pPr>
              <w:contextualSpacing/>
              <w:rPr>
                <w:rFonts w:cs="Times New Roman"/>
                <w:sz w:val="24"/>
                <w:szCs w:val="24"/>
              </w:rPr>
            </w:pPr>
            <w:r>
              <w:rPr>
                <w:rFonts w:cs="Times New Roman"/>
                <w:sz w:val="24"/>
                <w:szCs w:val="24"/>
              </w:rPr>
              <w:t>£4</w:t>
            </w:r>
            <w:r w:rsidR="00853146">
              <w:rPr>
                <w:rFonts w:cs="Times New Roman"/>
                <w:sz w:val="24"/>
                <w:szCs w:val="24"/>
              </w:rPr>
              <w:t>836</w:t>
            </w:r>
          </w:p>
        </w:tc>
        <w:tc>
          <w:tcPr>
            <w:tcW w:w="1341" w:type="dxa"/>
          </w:tcPr>
          <w:p w14:paraId="119CDB6C" w14:textId="77777777" w:rsidR="006A545F" w:rsidRDefault="001C5753" w:rsidP="00E0643C">
            <w:pPr>
              <w:contextualSpacing/>
              <w:rPr>
                <w:rFonts w:cs="Times New Roman"/>
                <w:sz w:val="24"/>
                <w:szCs w:val="24"/>
              </w:rPr>
            </w:pPr>
            <w:r>
              <w:rPr>
                <w:rFonts w:cs="Times New Roman"/>
                <w:sz w:val="24"/>
                <w:szCs w:val="24"/>
              </w:rPr>
              <w:t>£</w:t>
            </w:r>
            <w:r w:rsidR="00853146">
              <w:rPr>
                <w:rFonts w:cs="Times New Roman"/>
                <w:sz w:val="24"/>
                <w:szCs w:val="24"/>
              </w:rPr>
              <w:t>4248</w:t>
            </w:r>
          </w:p>
        </w:tc>
      </w:tr>
      <w:tr w:rsidR="006A545F" w14:paraId="1FE83999" w14:textId="77777777" w:rsidTr="006A545F">
        <w:tc>
          <w:tcPr>
            <w:tcW w:w="1327" w:type="dxa"/>
          </w:tcPr>
          <w:p w14:paraId="4459CCAE" w14:textId="77777777" w:rsidR="006A545F" w:rsidRDefault="006A545F" w:rsidP="00E0643C">
            <w:pPr>
              <w:contextualSpacing/>
              <w:rPr>
                <w:rFonts w:cs="Times New Roman"/>
                <w:sz w:val="24"/>
                <w:szCs w:val="24"/>
              </w:rPr>
            </w:pPr>
            <w:r>
              <w:rPr>
                <w:rFonts w:cs="Times New Roman"/>
                <w:sz w:val="24"/>
                <w:szCs w:val="24"/>
              </w:rPr>
              <w:t>High FSM&gt; 35%</w:t>
            </w:r>
          </w:p>
        </w:tc>
        <w:tc>
          <w:tcPr>
            <w:tcW w:w="1720" w:type="dxa"/>
          </w:tcPr>
          <w:p w14:paraId="440DF771" w14:textId="77777777" w:rsidR="006A545F" w:rsidRDefault="001C5753" w:rsidP="006A545F">
            <w:pPr>
              <w:contextualSpacing/>
              <w:rPr>
                <w:rFonts w:cs="Times New Roman"/>
                <w:sz w:val="24"/>
                <w:szCs w:val="24"/>
              </w:rPr>
            </w:pPr>
            <w:r>
              <w:rPr>
                <w:rFonts w:cs="Times New Roman"/>
                <w:sz w:val="24"/>
                <w:szCs w:val="24"/>
              </w:rPr>
              <w:t>£</w:t>
            </w:r>
            <w:r w:rsidR="006A545F">
              <w:rPr>
                <w:rFonts w:cs="Times New Roman"/>
                <w:sz w:val="24"/>
                <w:szCs w:val="24"/>
              </w:rPr>
              <w:t xml:space="preserve">6150  </w:t>
            </w:r>
          </w:p>
        </w:tc>
        <w:tc>
          <w:tcPr>
            <w:tcW w:w="1708" w:type="dxa"/>
          </w:tcPr>
          <w:p w14:paraId="66DA87C9" w14:textId="77777777" w:rsidR="006A545F" w:rsidRDefault="001C5753" w:rsidP="00E0643C">
            <w:pPr>
              <w:contextualSpacing/>
              <w:rPr>
                <w:rFonts w:cs="Times New Roman"/>
                <w:sz w:val="24"/>
                <w:szCs w:val="24"/>
              </w:rPr>
            </w:pPr>
            <w:r>
              <w:rPr>
                <w:rFonts w:cs="Times New Roman"/>
                <w:sz w:val="24"/>
                <w:szCs w:val="24"/>
              </w:rPr>
              <w:t>£</w:t>
            </w:r>
            <w:r w:rsidR="00853146">
              <w:rPr>
                <w:rFonts w:cs="Times New Roman"/>
                <w:sz w:val="24"/>
                <w:szCs w:val="24"/>
              </w:rPr>
              <w:t>6295</w:t>
            </w:r>
          </w:p>
        </w:tc>
        <w:tc>
          <w:tcPr>
            <w:tcW w:w="1553" w:type="dxa"/>
          </w:tcPr>
          <w:p w14:paraId="68980CC6" w14:textId="77777777" w:rsidR="006A545F" w:rsidRDefault="001C5753" w:rsidP="00E0643C">
            <w:pPr>
              <w:contextualSpacing/>
              <w:rPr>
                <w:rFonts w:cs="Times New Roman"/>
                <w:sz w:val="24"/>
                <w:szCs w:val="24"/>
              </w:rPr>
            </w:pPr>
            <w:r>
              <w:rPr>
                <w:rFonts w:cs="Times New Roman"/>
                <w:sz w:val="24"/>
                <w:szCs w:val="24"/>
              </w:rPr>
              <w:t>£</w:t>
            </w:r>
            <w:r w:rsidR="00853146">
              <w:rPr>
                <w:rFonts w:cs="Times New Roman"/>
                <w:sz w:val="24"/>
                <w:szCs w:val="24"/>
              </w:rPr>
              <w:t>5268</w:t>
            </w:r>
          </w:p>
        </w:tc>
        <w:tc>
          <w:tcPr>
            <w:tcW w:w="1341" w:type="dxa"/>
          </w:tcPr>
          <w:p w14:paraId="2C2EF135" w14:textId="77777777" w:rsidR="006A545F" w:rsidRDefault="001C5753" w:rsidP="00E0643C">
            <w:pPr>
              <w:contextualSpacing/>
              <w:rPr>
                <w:rFonts w:cs="Times New Roman"/>
                <w:sz w:val="24"/>
                <w:szCs w:val="24"/>
              </w:rPr>
            </w:pPr>
            <w:r>
              <w:rPr>
                <w:rFonts w:cs="Times New Roman"/>
                <w:sz w:val="24"/>
                <w:szCs w:val="24"/>
              </w:rPr>
              <w:t>£</w:t>
            </w:r>
            <w:r w:rsidR="007A3C17">
              <w:rPr>
                <w:rFonts w:cs="Times New Roman"/>
                <w:sz w:val="24"/>
                <w:szCs w:val="24"/>
              </w:rPr>
              <w:t xml:space="preserve">4787 </w:t>
            </w:r>
          </w:p>
        </w:tc>
      </w:tr>
      <w:tr w:rsidR="006A545F" w14:paraId="4791A3CD" w14:textId="77777777" w:rsidTr="006A545F">
        <w:tc>
          <w:tcPr>
            <w:tcW w:w="1327" w:type="dxa"/>
          </w:tcPr>
          <w:p w14:paraId="2AF67707" w14:textId="77777777" w:rsidR="006A545F" w:rsidRPr="001C5753" w:rsidRDefault="006A545F" w:rsidP="006A545F">
            <w:pPr>
              <w:contextualSpacing/>
              <w:rPr>
                <w:rFonts w:cs="Times New Roman"/>
                <w:b/>
                <w:sz w:val="24"/>
                <w:szCs w:val="24"/>
              </w:rPr>
            </w:pPr>
            <w:r w:rsidRPr="001C5753">
              <w:rPr>
                <w:rFonts w:cs="Times New Roman"/>
                <w:b/>
                <w:sz w:val="24"/>
                <w:szCs w:val="24"/>
              </w:rPr>
              <w:t>Pupil</w:t>
            </w:r>
            <w:r w:rsidR="00383795">
              <w:rPr>
                <w:rFonts w:cs="Times New Roman"/>
                <w:b/>
                <w:sz w:val="24"/>
                <w:szCs w:val="24"/>
              </w:rPr>
              <w:t>/</w:t>
            </w:r>
            <w:r w:rsidRPr="001C5753">
              <w:rPr>
                <w:rFonts w:cs="Times New Roman"/>
                <w:b/>
                <w:sz w:val="24"/>
                <w:szCs w:val="24"/>
              </w:rPr>
              <w:t xml:space="preserve"> teacher ratio </w:t>
            </w:r>
          </w:p>
        </w:tc>
        <w:tc>
          <w:tcPr>
            <w:tcW w:w="1720" w:type="dxa"/>
          </w:tcPr>
          <w:p w14:paraId="4C411638" w14:textId="77777777" w:rsidR="006A545F" w:rsidRDefault="006A545F" w:rsidP="001C5753">
            <w:pPr>
              <w:contextualSpacing/>
              <w:rPr>
                <w:rFonts w:cs="Times New Roman"/>
                <w:sz w:val="24"/>
                <w:szCs w:val="24"/>
              </w:rPr>
            </w:pPr>
            <w:r w:rsidRPr="001C5753">
              <w:rPr>
                <w:rFonts w:cs="Times New Roman"/>
                <w:sz w:val="24"/>
                <w:szCs w:val="24"/>
              </w:rPr>
              <w:t xml:space="preserve">16.8 </w:t>
            </w:r>
          </w:p>
        </w:tc>
        <w:tc>
          <w:tcPr>
            <w:tcW w:w="1708" w:type="dxa"/>
          </w:tcPr>
          <w:p w14:paraId="77FE318A" w14:textId="77777777" w:rsidR="006A545F" w:rsidRDefault="00853146" w:rsidP="00383795">
            <w:pPr>
              <w:contextualSpacing/>
              <w:rPr>
                <w:rFonts w:cs="Times New Roman"/>
                <w:sz w:val="24"/>
                <w:szCs w:val="24"/>
              </w:rPr>
            </w:pPr>
            <w:r>
              <w:rPr>
                <w:rFonts w:cs="Times New Roman"/>
                <w:sz w:val="24"/>
                <w:szCs w:val="24"/>
              </w:rPr>
              <w:t>14</w:t>
            </w:r>
            <w:r w:rsidR="00383795">
              <w:rPr>
                <w:rFonts w:cs="Times New Roman"/>
                <w:sz w:val="24"/>
                <w:szCs w:val="24"/>
              </w:rPr>
              <w:t>.</w:t>
            </w:r>
            <w:r>
              <w:rPr>
                <w:rFonts w:cs="Times New Roman"/>
                <w:sz w:val="24"/>
                <w:szCs w:val="24"/>
              </w:rPr>
              <w:t>6</w:t>
            </w:r>
          </w:p>
        </w:tc>
        <w:tc>
          <w:tcPr>
            <w:tcW w:w="1553" w:type="dxa"/>
          </w:tcPr>
          <w:p w14:paraId="6DBF7B1C" w14:textId="77777777" w:rsidR="006A545F" w:rsidRDefault="00853146" w:rsidP="00E0643C">
            <w:pPr>
              <w:contextualSpacing/>
              <w:rPr>
                <w:rFonts w:cs="Times New Roman"/>
                <w:sz w:val="24"/>
                <w:szCs w:val="24"/>
              </w:rPr>
            </w:pPr>
            <w:r>
              <w:rPr>
                <w:rFonts w:cs="Times New Roman"/>
                <w:sz w:val="24"/>
                <w:szCs w:val="24"/>
              </w:rPr>
              <w:t>--</w:t>
            </w:r>
          </w:p>
        </w:tc>
        <w:tc>
          <w:tcPr>
            <w:tcW w:w="1341" w:type="dxa"/>
          </w:tcPr>
          <w:p w14:paraId="65E2C44D" w14:textId="77777777" w:rsidR="006A545F" w:rsidRDefault="00853146" w:rsidP="00E0643C">
            <w:pPr>
              <w:contextualSpacing/>
              <w:rPr>
                <w:rFonts w:cs="Times New Roman"/>
                <w:sz w:val="24"/>
                <w:szCs w:val="24"/>
              </w:rPr>
            </w:pPr>
            <w:r>
              <w:rPr>
                <w:rFonts w:cs="Times New Roman"/>
                <w:sz w:val="24"/>
                <w:szCs w:val="24"/>
              </w:rPr>
              <w:t>16.3</w:t>
            </w:r>
          </w:p>
        </w:tc>
      </w:tr>
      <w:tr w:rsidR="006A545F" w14:paraId="4886E52A" w14:textId="77777777" w:rsidTr="006A545F">
        <w:tc>
          <w:tcPr>
            <w:tcW w:w="1327" w:type="dxa"/>
          </w:tcPr>
          <w:p w14:paraId="3945C38B" w14:textId="77777777" w:rsidR="006A545F" w:rsidRPr="001C5753" w:rsidRDefault="001C5753" w:rsidP="00E0643C">
            <w:pPr>
              <w:contextualSpacing/>
              <w:rPr>
                <w:rFonts w:cs="Times New Roman"/>
                <w:b/>
                <w:sz w:val="24"/>
                <w:szCs w:val="24"/>
              </w:rPr>
            </w:pPr>
            <w:r>
              <w:rPr>
                <w:rFonts w:cs="Times New Roman"/>
                <w:b/>
                <w:sz w:val="24"/>
                <w:szCs w:val="24"/>
              </w:rPr>
              <w:t>Teacher ass’t/ t</w:t>
            </w:r>
            <w:r w:rsidR="006A545F" w:rsidRPr="001C5753">
              <w:rPr>
                <w:rFonts w:cs="Times New Roman"/>
                <w:b/>
                <w:sz w:val="24"/>
                <w:szCs w:val="24"/>
              </w:rPr>
              <w:t>eachers</w:t>
            </w:r>
          </w:p>
          <w:p w14:paraId="446B7DB1" w14:textId="77777777" w:rsidR="006A545F" w:rsidRDefault="006A545F" w:rsidP="00E0643C">
            <w:pPr>
              <w:contextualSpacing/>
              <w:rPr>
                <w:rFonts w:cs="Times New Roman"/>
                <w:sz w:val="24"/>
                <w:szCs w:val="24"/>
              </w:rPr>
            </w:pPr>
          </w:p>
        </w:tc>
        <w:tc>
          <w:tcPr>
            <w:tcW w:w="1720" w:type="dxa"/>
          </w:tcPr>
          <w:p w14:paraId="6AC1D31A" w14:textId="77777777" w:rsidR="006A545F" w:rsidRDefault="00853146" w:rsidP="00E0643C">
            <w:pPr>
              <w:contextualSpacing/>
              <w:rPr>
                <w:rFonts w:cs="Times New Roman"/>
                <w:sz w:val="24"/>
                <w:szCs w:val="24"/>
              </w:rPr>
            </w:pPr>
            <w:r>
              <w:rPr>
                <w:rFonts w:cs="Times New Roman"/>
                <w:sz w:val="24"/>
                <w:szCs w:val="24"/>
              </w:rPr>
              <w:t>0.446</w:t>
            </w:r>
          </w:p>
        </w:tc>
        <w:tc>
          <w:tcPr>
            <w:tcW w:w="1708" w:type="dxa"/>
          </w:tcPr>
          <w:p w14:paraId="28CC8A8D" w14:textId="77777777" w:rsidR="006A545F" w:rsidRDefault="00853146" w:rsidP="00853146">
            <w:pPr>
              <w:contextualSpacing/>
              <w:rPr>
                <w:rFonts w:cs="Times New Roman"/>
                <w:sz w:val="24"/>
                <w:szCs w:val="24"/>
              </w:rPr>
            </w:pPr>
            <w:r>
              <w:rPr>
                <w:rFonts w:cs="Times New Roman"/>
                <w:sz w:val="24"/>
                <w:szCs w:val="24"/>
              </w:rPr>
              <w:t>0.520</w:t>
            </w:r>
          </w:p>
        </w:tc>
        <w:tc>
          <w:tcPr>
            <w:tcW w:w="1553" w:type="dxa"/>
          </w:tcPr>
          <w:p w14:paraId="49EC1199" w14:textId="77777777" w:rsidR="006A545F" w:rsidRDefault="00853146" w:rsidP="00E0643C">
            <w:pPr>
              <w:contextualSpacing/>
              <w:rPr>
                <w:rFonts w:cs="Times New Roman"/>
                <w:sz w:val="24"/>
                <w:szCs w:val="24"/>
              </w:rPr>
            </w:pPr>
            <w:r>
              <w:rPr>
                <w:rFonts w:cs="Times New Roman"/>
                <w:sz w:val="24"/>
                <w:szCs w:val="24"/>
              </w:rPr>
              <w:t>--</w:t>
            </w:r>
          </w:p>
        </w:tc>
        <w:tc>
          <w:tcPr>
            <w:tcW w:w="1341" w:type="dxa"/>
          </w:tcPr>
          <w:p w14:paraId="006BF447" w14:textId="77777777" w:rsidR="006A545F" w:rsidRDefault="00853146" w:rsidP="00E0643C">
            <w:pPr>
              <w:contextualSpacing/>
              <w:rPr>
                <w:rFonts w:cs="Times New Roman"/>
                <w:sz w:val="24"/>
                <w:szCs w:val="24"/>
              </w:rPr>
            </w:pPr>
            <w:r>
              <w:rPr>
                <w:rFonts w:cs="Times New Roman"/>
                <w:sz w:val="24"/>
                <w:szCs w:val="24"/>
              </w:rPr>
              <w:t>0.416</w:t>
            </w:r>
          </w:p>
        </w:tc>
      </w:tr>
      <w:tr w:rsidR="006A545F" w14:paraId="18863C28" w14:textId="77777777" w:rsidTr="006A545F">
        <w:tc>
          <w:tcPr>
            <w:tcW w:w="1327" w:type="dxa"/>
          </w:tcPr>
          <w:p w14:paraId="7A125DE3" w14:textId="77777777" w:rsidR="006A545F" w:rsidRPr="001C5753" w:rsidRDefault="00383795" w:rsidP="00EB69CC">
            <w:pPr>
              <w:contextualSpacing/>
              <w:rPr>
                <w:rFonts w:cs="Times New Roman"/>
                <w:b/>
                <w:sz w:val="24"/>
                <w:szCs w:val="24"/>
              </w:rPr>
            </w:pPr>
            <w:r>
              <w:rPr>
                <w:rFonts w:cs="Times New Roman"/>
                <w:b/>
                <w:sz w:val="24"/>
                <w:szCs w:val="24"/>
              </w:rPr>
              <w:t xml:space="preserve">Teacher salaries </w:t>
            </w:r>
          </w:p>
        </w:tc>
        <w:tc>
          <w:tcPr>
            <w:tcW w:w="1720" w:type="dxa"/>
          </w:tcPr>
          <w:p w14:paraId="2DA8CCC5" w14:textId="77777777" w:rsidR="006A545F" w:rsidRDefault="00853146" w:rsidP="00E0643C">
            <w:pPr>
              <w:contextualSpacing/>
              <w:rPr>
                <w:rFonts w:cs="Times New Roman"/>
                <w:sz w:val="24"/>
                <w:szCs w:val="24"/>
              </w:rPr>
            </w:pPr>
            <w:r>
              <w:rPr>
                <w:rFonts w:cs="Times New Roman"/>
                <w:sz w:val="24"/>
                <w:szCs w:val="24"/>
              </w:rPr>
              <w:t xml:space="preserve">$42,900 </w:t>
            </w:r>
          </w:p>
        </w:tc>
        <w:tc>
          <w:tcPr>
            <w:tcW w:w="1708" w:type="dxa"/>
          </w:tcPr>
          <w:p w14:paraId="3FC46C6C" w14:textId="77777777" w:rsidR="006A545F" w:rsidRDefault="00853146" w:rsidP="00E0643C">
            <w:pPr>
              <w:contextualSpacing/>
              <w:rPr>
                <w:rFonts w:cs="Times New Roman"/>
                <w:sz w:val="24"/>
                <w:szCs w:val="24"/>
              </w:rPr>
            </w:pPr>
            <w:r>
              <w:rPr>
                <w:rFonts w:cs="Times New Roman"/>
                <w:sz w:val="24"/>
                <w:szCs w:val="24"/>
              </w:rPr>
              <w:t>$43,800</w:t>
            </w:r>
          </w:p>
        </w:tc>
        <w:tc>
          <w:tcPr>
            <w:tcW w:w="1553" w:type="dxa"/>
          </w:tcPr>
          <w:p w14:paraId="6D803051" w14:textId="77777777" w:rsidR="006A545F" w:rsidRDefault="00853146" w:rsidP="00E0643C">
            <w:pPr>
              <w:contextualSpacing/>
              <w:rPr>
                <w:rFonts w:cs="Times New Roman"/>
                <w:sz w:val="24"/>
                <w:szCs w:val="24"/>
              </w:rPr>
            </w:pPr>
            <w:r>
              <w:rPr>
                <w:rFonts w:cs="Times New Roman"/>
                <w:sz w:val="24"/>
                <w:szCs w:val="24"/>
              </w:rPr>
              <w:t>--</w:t>
            </w:r>
          </w:p>
        </w:tc>
        <w:tc>
          <w:tcPr>
            <w:tcW w:w="1341" w:type="dxa"/>
          </w:tcPr>
          <w:p w14:paraId="69CA7F65" w14:textId="77777777" w:rsidR="006A545F" w:rsidRDefault="00853146" w:rsidP="00E0643C">
            <w:pPr>
              <w:contextualSpacing/>
              <w:rPr>
                <w:rFonts w:cs="Times New Roman"/>
                <w:sz w:val="24"/>
                <w:szCs w:val="24"/>
              </w:rPr>
            </w:pPr>
            <w:r>
              <w:rPr>
                <w:rFonts w:cs="Times New Roman"/>
                <w:sz w:val="24"/>
                <w:szCs w:val="24"/>
              </w:rPr>
              <w:t xml:space="preserve">$38,000 </w:t>
            </w:r>
          </w:p>
        </w:tc>
      </w:tr>
      <w:tr w:rsidR="00383795" w14:paraId="6265C6C9" w14:textId="77777777" w:rsidTr="00A87FDC">
        <w:tc>
          <w:tcPr>
            <w:tcW w:w="7649" w:type="dxa"/>
            <w:gridSpan w:val="5"/>
          </w:tcPr>
          <w:p w14:paraId="57F4B8E3" w14:textId="76DCB09D" w:rsidR="00383795" w:rsidRDefault="00383795" w:rsidP="004F355C">
            <w:pPr>
              <w:contextualSpacing/>
              <w:rPr>
                <w:rFonts w:cs="Times New Roman"/>
                <w:sz w:val="24"/>
                <w:szCs w:val="24"/>
              </w:rPr>
            </w:pPr>
            <w:r>
              <w:rPr>
                <w:rFonts w:cs="Times New Roman"/>
                <w:sz w:val="24"/>
                <w:szCs w:val="24"/>
              </w:rPr>
              <w:t>Source</w:t>
            </w:r>
            <w:r w:rsidR="004F355C">
              <w:rPr>
                <w:rFonts w:cs="Times New Roman"/>
                <w:sz w:val="24"/>
                <w:szCs w:val="24"/>
              </w:rPr>
              <w:t xml:space="preserve">: </w:t>
            </w:r>
            <w:r>
              <w:rPr>
                <w:rFonts w:cs="Times New Roman"/>
                <w:sz w:val="24"/>
                <w:szCs w:val="24"/>
              </w:rPr>
              <w:t xml:space="preserve">Department for Education, School Performance Tables. 2011 Download Data Archive. </w:t>
            </w:r>
            <w:hyperlink r:id="rId14" w:history="1">
              <w:r w:rsidRPr="002D768A">
                <w:rPr>
                  <w:rStyle w:val="Hyperlink"/>
                  <w:rFonts w:cs="Times New Roman"/>
                  <w:sz w:val="24"/>
                  <w:szCs w:val="24"/>
                </w:rPr>
                <w:t>www.education.gov.uk/schools/performance/2011/download_data.html</w:t>
              </w:r>
            </w:hyperlink>
          </w:p>
        </w:tc>
      </w:tr>
    </w:tbl>
    <w:p w14:paraId="7875A7CE" w14:textId="77777777" w:rsidR="009E6DF2" w:rsidRDefault="005C4C6C" w:rsidP="007A3C17">
      <w:pPr>
        <w:contextualSpacing/>
        <w:rPr>
          <w:rFonts w:cs="Times New Roman"/>
          <w:sz w:val="24"/>
          <w:szCs w:val="24"/>
        </w:rPr>
      </w:pPr>
      <w:r>
        <w:rPr>
          <w:rFonts w:cs="Times New Roman"/>
          <w:sz w:val="24"/>
          <w:szCs w:val="24"/>
        </w:rPr>
        <w:lastRenderedPageBreak/>
        <w:t>Of</w:t>
      </w:r>
      <w:r w:rsidR="007A3C17">
        <w:rPr>
          <w:rFonts w:cs="Times New Roman"/>
          <w:sz w:val="24"/>
          <w:szCs w:val="24"/>
        </w:rPr>
        <w:t>ficials in Hackney and Tower Hamlets are frank to say that these greater resources enabled them to implement educational policies designed to improve schools, especially</w:t>
      </w:r>
      <w:r w:rsidR="007562D6">
        <w:rPr>
          <w:rFonts w:cs="Times New Roman"/>
          <w:sz w:val="24"/>
          <w:szCs w:val="24"/>
        </w:rPr>
        <w:t xml:space="preserve"> those serving low-</w:t>
      </w:r>
      <w:r w:rsidR="007A3C17">
        <w:rPr>
          <w:rFonts w:cs="Times New Roman"/>
          <w:sz w:val="24"/>
          <w:szCs w:val="24"/>
        </w:rPr>
        <w:t xml:space="preserve">income students. </w:t>
      </w:r>
      <w:r w:rsidR="005B7286">
        <w:rPr>
          <w:rFonts w:cs="Times New Roman"/>
          <w:sz w:val="24"/>
          <w:szCs w:val="24"/>
        </w:rPr>
        <w:t>Howeve</w:t>
      </w:r>
      <w:r w:rsidR="00DD579C">
        <w:rPr>
          <w:rFonts w:cs="Times New Roman"/>
          <w:sz w:val="24"/>
          <w:szCs w:val="24"/>
        </w:rPr>
        <w:t>r</w:t>
      </w:r>
      <w:r w:rsidR="00997E85">
        <w:rPr>
          <w:rFonts w:cs="Times New Roman"/>
          <w:sz w:val="24"/>
          <w:szCs w:val="24"/>
        </w:rPr>
        <w:t>,</w:t>
      </w:r>
      <w:r w:rsidR="005B7286">
        <w:rPr>
          <w:rFonts w:cs="Times New Roman"/>
          <w:sz w:val="24"/>
          <w:szCs w:val="24"/>
        </w:rPr>
        <w:t xml:space="preserve"> bo</w:t>
      </w:r>
      <w:r w:rsidR="006D5A3C">
        <w:rPr>
          <w:rFonts w:cs="Times New Roman"/>
          <w:sz w:val="24"/>
          <w:szCs w:val="24"/>
        </w:rPr>
        <w:t>th boroughs also had high levels of resources</w:t>
      </w:r>
      <w:r w:rsidR="005B7286">
        <w:rPr>
          <w:rFonts w:cs="Times New Roman"/>
          <w:sz w:val="24"/>
          <w:szCs w:val="24"/>
        </w:rPr>
        <w:t xml:space="preserve"> relative to other areas </w:t>
      </w:r>
      <w:r w:rsidR="006D5A3C">
        <w:rPr>
          <w:rFonts w:cs="Times New Roman"/>
          <w:sz w:val="24"/>
          <w:szCs w:val="24"/>
        </w:rPr>
        <w:t>in the late 1990s at a time when the performance of their students was extremely low and the</w:t>
      </w:r>
      <w:r w:rsidR="005B7286">
        <w:rPr>
          <w:rFonts w:cs="Times New Roman"/>
          <w:sz w:val="24"/>
          <w:szCs w:val="24"/>
        </w:rPr>
        <w:t xml:space="preserve"> quality of their schools was poor. </w:t>
      </w:r>
      <w:r w:rsidR="006D5A3C">
        <w:rPr>
          <w:rFonts w:cs="Times New Roman"/>
          <w:sz w:val="24"/>
          <w:szCs w:val="24"/>
        </w:rPr>
        <w:t xml:space="preserve">Thus, while access to high levels of resources is </w:t>
      </w:r>
      <w:r w:rsidR="00645A4A">
        <w:rPr>
          <w:rFonts w:cs="Times New Roman"/>
          <w:sz w:val="24"/>
          <w:szCs w:val="24"/>
        </w:rPr>
        <w:t>undo</w:t>
      </w:r>
      <w:r w:rsidR="00997E85">
        <w:rPr>
          <w:rFonts w:cs="Times New Roman"/>
          <w:sz w:val="24"/>
          <w:szCs w:val="24"/>
        </w:rPr>
        <w:t xml:space="preserve">ubtedly </w:t>
      </w:r>
      <w:r w:rsidR="006D5A3C">
        <w:rPr>
          <w:rFonts w:cs="Times New Roman"/>
          <w:sz w:val="24"/>
          <w:szCs w:val="24"/>
        </w:rPr>
        <w:t>helpful</w:t>
      </w:r>
      <w:r w:rsidR="00997E85">
        <w:rPr>
          <w:rFonts w:cs="Times New Roman"/>
          <w:sz w:val="24"/>
          <w:szCs w:val="24"/>
        </w:rPr>
        <w:t xml:space="preserve"> – and </w:t>
      </w:r>
      <w:r w:rsidR="00420D78">
        <w:rPr>
          <w:rFonts w:cs="Times New Roman"/>
          <w:sz w:val="24"/>
          <w:szCs w:val="24"/>
        </w:rPr>
        <w:t xml:space="preserve">most likely </w:t>
      </w:r>
      <w:r w:rsidR="00997E85">
        <w:rPr>
          <w:rFonts w:cs="Times New Roman"/>
          <w:sz w:val="24"/>
          <w:szCs w:val="24"/>
        </w:rPr>
        <w:t xml:space="preserve">necessary -- </w:t>
      </w:r>
      <w:r w:rsidR="006D5A3C">
        <w:rPr>
          <w:rFonts w:cs="Times New Roman"/>
          <w:sz w:val="24"/>
          <w:szCs w:val="24"/>
        </w:rPr>
        <w:t>for improving schools and raising student performance</w:t>
      </w:r>
      <w:r w:rsidR="00C32F8D">
        <w:rPr>
          <w:rFonts w:cs="Times New Roman"/>
          <w:sz w:val="24"/>
          <w:szCs w:val="24"/>
        </w:rPr>
        <w:t xml:space="preserve"> it is not sufficient by itself. </w:t>
      </w:r>
      <w:r w:rsidR="00DD579C">
        <w:rPr>
          <w:rFonts w:cs="Times New Roman"/>
          <w:sz w:val="24"/>
          <w:szCs w:val="24"/>
        </w:rPr>
        <w:t xml:space="preserve"> </w:t>
      </w:r>
      <w:r w:rsidR="00997E85">
        <w:rPr>
          <w:rFonts w:cs="Times New Roman"/>
          <w:sz w:val="24"/>
          <w:szCs w:val="24"/>
        </w:rPr>
        <w:t xml:space="preserve"> </w:t>
      </w:r>
    </w:p>
    <w:p w14:paraId="54B37B80" w14:textId="77777777" w:rsidR="00997E85" w:rsidRDefault="00997E85" w:rsidP="007A3C17">
      <w:pPr>
        <w:contextualSpacing/>
        <w:rPr>
          <w:rFonts w:cs="Times New Roman"/>
          <w:sz w:val="24"/>
          <w:szCs w:val="24"/>
        </w:rPr>
      </w:pPr>
    </w:p>
    <w:p w14:paraId="0495CC79" w14:textId="77777777" w:rsidR="008A6E15" w:rsidRPr="009E6DF2" w:rsidRDefault="008A6E15" w:rsidP="007A3C17">
      <w:pPr>
        <w:contextualSpacing/>
        <w:rPr>
          <w:rFonts w:cs="Times New Roman"/>
          <w:b/>
          <w:sz w:val="28"/>
          <w:szCs w:val="28"/>
        </w:rPr>
      </w:pPr>
      <w:r w:rsidRPr="009E6DF2">
        <w:rPr>
          <w:rFonts w:cs="Times New Roman"/>
          <w:b/>
          <w:sz w:val="28"/>
          <w:szCs w:val="28"/>
        </w:rPr>
        <w:t xml:space="preserve">Other national </w:t>
      </w:r>
      <w:r w:rsidR="0095667A" w:rsidRPr="009E6DF2">
        <w:rPr>
          <w:rFonts w:cs="Times New Roman"/>
          <w:b/>
          <w:sz w:val="28"/>
          <w:szCs w:val="28"/>
        </w:rPr>
        <w:t xml:space="preserve">or London-specific </w:t>
      </w:r>
      <w:r w:rsidRPr="009E6DF2">
        <w:rPr>
          <w:rFonts w:cs="Times New Roman"/>
          <w:b/>
          <w:sz w:val="28"/>
          <w:szCs w:val="28"/>
        </w:rPr>
        <w:t xml:space="preserve">policy initiatives </w:t>
      </w:r>
    </w:p>
    <w:p w14:paraId="01D1F1D0" w14:textId="77777777" w:rsidR="009E6DF2" w:rsidRDefault="009E6DF2" w:rsidP="007E4FCC">
      <w:pPr>
        <w:contextualSpacing/>
        <w:rPr>
          <w:rFonts w:cs="Times New Roman"/>
          <w:b/>
          <w:sz w:val="24"/>
          <w:szCs w:val="24"/>
        </w:rPr>
      </w:pPr>
    </w:p>
    <w:p w14:paraId="6E366059" w14:textId="054FF55B" w:rsidR="00C32F8D" w:rsidRDefault="008A6E15" w:rsidP="00C32F8D">
      <w:pPr>
        <w:contextualSpacing/>
        <w:rPr>
          <w:rFonts w:cs="Times New Roman"/>
          <w:sz w:val="24"/>
          <w:szCs w:val="24"/>
        </w:rPr>
      </w:pPr>
      <w:r>
        <w:rPr>
          <w:rFonts w:cs="Times New Roman"/>
          <w:sz w:val="24"/>
          <w:szCs w:val="24"/>
        </w:rPr>
        <w:t xml:space="preserve">Additional funding was not the only </w:t>
      </w:r>
      <w:r w:rsidR="00F6737B">
        <w:rPr>
          <w:rFonts w:cs="Times New Roman"/>
          <w:sz w:val="24"/>
          <w:szCs w:val="24"/>
        </w:rPr>
        <w:t xml:space="preserve">policy </w:t>
      </w:r>
      <w:r w:rsidR="009E6DF2">
        <w:rPr>
          <w:rFonts w:cs="Times New Roman"/>
          <w:sz w:val="24"/>
          <w:szCs w:val="24"/>
        </w:rPr>
        <w:t>initiative</w:t>
      </w:r>
      <w:r w:rsidR="00514789">
        <w:rPr>
          <w:rFonts w:cs="Times New Roman"/>
          <w:sz w:val="24"/>
          <w:szCs w:val="24"/>
        </w:rPr>
        <w:t xml:space="preserve"> </w:t>
      </w:r>
      <w:r w:rsidR="00394278">
        <w:rPr>
          <w:rFonts w:cs="Times New Roman"/>
          <w:sz w:val="24"/>
          <w:szCs w:val="24"/>
        </w:rPr>
        <w:t xml:space="preserve">during the years of the Labour government </w:t>
      </w:r>
      <w:r w:rsidR="00F6737B">
        <w:rPr>
          <w:rFonts w:cs="Times New Roman"/>
          <w:sz w:val="24"/>
          <w:szCs w:val="24"/>
        </w:rPr>
        <w:t>that m</w:t>
      </w:r>
      <w:r w:rsidR="00FD043E">
        <w:rPr>
          <w:rFonts w:cs="Times New Roman"/>
          <w:sz w:val="24"/>
          <w:szCs w:val="24"/>
        </w:rPr>
        <w:t>ay</w:t>
      </w:r>
      <w:r w:rsidR="00454AFA">
        <w:rPr>
          <w:rFonts w:cs="Times New Roman"/>
          <w:sz w:val="24"/>
          <w:szCs w:val="24"/>
        </w:rPr>
        <w:t xml:space="preserve"> </w:t>
      </w:r>
      <w:r w:rsidR="00F6737B">
        <w:rPr>
          <w:rFonts w:cs="Times New Roman"/>
          <w:sz w:val="24"/>
          <w:szCs w:val="24"/>
        </w:rPr>
        <w:t xml:space="preserve">have contributed to the “London Effect.” </w:t>
      </w:r>
      <w:r w:rsidR="007E4FCC">
        <w:rPr>
          <w:rFonts w:cs="Times New Roman"/>
          <w:sz w:val="24"/>
          <w:szCs w:val="24"/>
        </w:rPr>
        <w:t xml:space="preserve">When Labour came to power in 1997 it </w:t>
      </w:r>
      <w:r w:rsidR="00CC54F9">
        <w:rPr>
          <w:rFonts w:cs="Times New Roman"/>
          <w:sz w:val="24"/>
          <w:szCs w:val="24"/>
        </w:rPr>
        <w:t>introduced</w:t>
      </w:r>
      <w:r w:rsidR="004E5C3E">
        <w:rPr>
          <w:rFonts w:cs="Times New Roman"/>
          <w:sz w:val="24"/>
          <w:szCs w:val="24"/>
        </w:rPr>
        <w:t xml:space="preserve"> a</w:t>
      </w:r>
      <w:r w:rsidR="009E6DF2">
        <w:rPr>
          <w:rFonts w:cs="Times New Roman"/>
          <w:sz w:val="24"/>
          <w:szCs w:val="24"/>
        </w:rPr>
        <w:t xml:space="preserve"> series of new policies </w:t>
      </w:r>
      <w:r w:rsidR="00513E25">
        <w:rPr>
          <w:rFonts w:cs="Times New Roman"/>
          <w:sz w:val="24"/>
          <w:szCs w:val="24"/>
        </w:rPr>
        <w:t xml:space="preserve">designed to </w:t>
      </w:r>
      <w:r w:rsidR="007E4FCC">
        <w:rPr>
          <w:rFonts w:cs="Times New Roman"/>
          <w:sz w:val="24"/>
          <w:szCs w:val="24"/>
        </w:rPr>
        <w:t>improve</w:t>
      </w:r>
      <w:r w:rsidR="006F3012">
        <w:rPr>
          <w:rFonts w:cs="Times New Roman"/>
          <w:sz w:val="24"/>
          <w:szCs w:val="24"/>
        </w:rPr>
        <w:t xml:space="preserve"> </w:t>
      </w:r>
      <w:r w:rsidR="007E4FCC">
        <w:rPr>
          <w:rFonts w:cs="Times New Roman"/>
          <w:sz w:val="24"/>
          <w:szCs w:val="24"/>
        </w:rPr>
        <w:t xml:space="preserve">teaching and learning among primary school pupils. </w:t>
      </w:r>
      <w:r w:rsidR="00F6737B">
        <w:rPr>
          <w:rFonts w:cs="Times New Roman"/>
          <w:sz w:val="24"/>
          <w:szCs w:val="24"/>
        </w:rPr>
        <w:t>The</w:t>
      </w:r>
      <w:r w:rsidR="006F3012">
        <w:rPr>
          <w:rFonts w:cs="Times New Roman"/>
          <w:sz w:val="24"/>
          <w:szCs w:val="24"/>
        </w:rPr>
        <w:t xml:space="preserve">se </w:t>
      </w:r>
      <w:r w:rsidR="007E4FCC">
        <w:rPr>
          <w:rFonts w:cs="Times New Roman"/>
          <w:sz w:val="24"/>
          <w:szCs w:val="24"/>
        </w:rPr>
        <w:t>included</w:t>
      </w:r>
      <w:r w:rsidR="00F6737B">
        <w:rPr>
          <w:rFonts w:cs="Times New Roman"/>
          <w:sz w:val="24"/>
          <w:szCs w:val="24"/>
        </w:rPr>
        <w:t xml:space="preserve"> a </w:t>
      </w:r>
      <w:r w:rsidR="007E4FCC">
        <w:rPr>
          <w:rFonts w:cs="Times New Roman"/>
          <w:sz w:val="24"/>
          <w:szCs w:val="24"/>
        </w:rPr>
        <w:t xml:space="preserve">reduction of class sizes for 5- to 7-year olds and, starting in 1998, </w:t>
      </w:r>
      <w:r w:rsidR="006F3012">
        <w:rPr>
          <w:rFonts w:cs="Times New Roman"/>
          <w:sz w:val="24"/>
          <w:szCs w:val="24"/>
        </w:rPr>
        <w:t xml:space="preserve">the </w:t>
      </w:r>
      <w:r w:rsidR="007E4FCC">
        <w:rPr>
          <w:rFonts w:cs="Times New Roman"/>
          <w:sz w:val="24"/>
          <w:szCs w:val="24"/>
        </w:rPr>
        <w:t xml:space="preserve">National Literacy </w:t>
      </w:r>
      <w:r w:rsidR="006F3012">
        <w:rPr>
          <w:rFonts w:cs="Times New Roman"/>
          <w:sz w:val="24"/>
          <w:szCs w:val="24"/>
        </w:rPr>
        <w:t>Strategy</w:t>
      </w:r>
      <w:r w:rsidR="00666DBF">
        <w:rPr>
          <w:rFonts w:cs="Times New Roman"/>
          <w:sz w:val="24"/>
          <w:szCs w:val="24"/>
        </w:rPr>
        <w:t xml:space="preserve"> and, the following year, </w:t>
      </w:r>
      <w:r w:rsidR="006F3012">
        <w:rPr>
          <w:rFonts w:cs="Times New Roman"/>
          <w:sz w:val="24"/>
          <w:szCs w:val="24"/>
        </w:rPr>
        <w:t xml:space="preserve">the </w:t>
      </w:r>
      <w:r w:rsidR="007E4FCC">
        <w:rPr>
          <w:rFonts w:cs="Times New Roman"/>
          <w:sz w:val="24"/>
          <w:szCs w:val="24"/>
        </w:rPr>
        <w:t>National Numeracy Strateg</w:t>
      </w:r>
      <w:r w:rsidR="006F3012">
        <w:rPr>
          <w:rFonts w:cs="Times New Roman"/>
          <w:sz w:val="24"/>
          <w:szCs w:val="24"/>
        </w:rPr>
        <w:t xml:space="preserve">y. </w:t>
      </w:r>
      <w:r w:rsidR="007E4FCC">
        <w:rPr>
          <w:rFonts w:cs="Times New Roman"/>
          <w:sz w:val="24"/>
          <w:szCs w:val="24"/>
        </w:rPr>
        <w:t xml:space="preserve"> </w:t>
      </w:r>
      <w:r w:rsidR="00F6737B">
        <w:rPr>
          <w:rFonts w:cs="Times New Roman"/>
          <w:sz w:val="24"/>
          <w:szCs w:val="24"/>
        </w:rPr>
        <w:t xml:space="preserve">The National Literacy </w:t>
      </w:r>
      <w:r w:rsidR="002F5726">
        <w:rPr>
          <w:rFonts w:cs="Times New Roman"/>
          <w:sz w:val="24"/>
          <w:szCs w:val="24"/>
        </w:rPr>
        <w:t>S</w:t>
      </w:r>
      <w:r w:rsidR="00F6737B">
        <w:rPr>
          <w:rFonts w:cs="Times New Roman"/>
          <w:sz w:val="24"/>
          <w:szCs w:val="24"/>
        </w:rPr>
        <w:t>trategy</w:t>
      </w:r>
      <w:r w:rsidR="00CC54F9">
        <w:rPr>
          <w:rFonts w:cs="Times New Roman"/>
          <w:sz w:val="24"/>
          <w:szCs w:val="24"/>
        </w:rPr>
        <w:t xml:space="preserve"> placed a new and rigid structure on the curriculum for English teaching</w:t>
      </w:r>
      <w:r w:rsidR="00D24FA0">
        <w:rPr>
          <w:rFonts w:cs="Times New Roman"/>
          <w:sz w:val="24"/>
          <w:szCs w:val="24"/>
        </w:rPr>
        <w:t xml:space="preserve">, including a mandatory </w:t>
      </w:r>
      <w:r w:rsidR="00CC54F9">
        <w:rPr>
          <w:rFonts w:cs="Times New Roman"/>
          <w:sz w:val="24"/>
          <w:szCs w:val="24"/>
        </w:rPr>
        <w:t xml:space="preserve">national literacy hour that had been piloted in about 400 schools </w:t>
      </w:r>
      <w:r w:rsidR="004E5C3E">
        <w:rPr>
          <w:rFonts w:cs="Times New Roman"/>
          <w:sz w:val="24"/>
          <w:szCs w:val="24"/>
        </w:rPr>
        <w:t xml:space="preserve">in disadvantaged areas </w:t>
      </w:r>
      <w:r w:rsidR="00CC54F9">
        <w:rPr>
          <w:rFonts w:cs="Times New Roman"/>
          <w:sz w:val="24"/>
          <w:szCs w:val="24"/>
        </w:rPr>
        <w:t>in 1996-97 by an earlier administration</w:t>
      </w:r>
      <w:r w:rsidR="002C0C70">
        <w:rPr>
          <w:rFonts w:cs="Times New Roman"/>
          <w:sz w:val="24"/>
          <w:szCs w:val="24"/>
        </w:rPr>
        <w:t xml:space="preserve">. </w:t>
      </w:r>
      <w:r w:rsidR="00CC54F9">
        <w:rPr>
          <w:rFonts w:cs="Times New Roman"/>
          <w:sz w:val="24"/>
          <w:szCs w:val="24"/>
        </w:rPr>
        <w:t xml:space="preserve"> Careful research on that program based on the pilot schools found</w:t>
      </w:r>
      <w:r w:rsidR="009E6DF2">
        <w:rPr>
          <w:rFonts w:cs="Times New Roman"/>
          <w:sz w:val="24"/>
          <w:szCs w:val="24"/>
        </w:rPr>
        <w:t xml:space="preserve"> that</w:t>
      </w:r>
      <w:r w:rsidR="00CC54F9">
        <w:rPr>
          <w:rFonts w:cs="Times New Roman"/>
          <w:sz w:val="24"/>
          <w:szCs w:val="24"/>
        </w:rPr>
        <w:t xml:space="preserve"> it succeeded in raising pupil test scores in reading and writing (</w:t>
      </w:r>
      <w:r w:rsidR="00C32F8D">
        <w:rPr>
          <w:rFonts w:cs="Times New Roman"/>
          <w:sz w:val="24"/>
          <w:szCs w:val="24"/>
        </w:rPr>
        <w:t xml:space="preserve">Machin and McNally, 2007). </w:t>
      </w:r>
      <w:r w:rsidR="00394278">
        <w:rPr>
          <w:rFonts w:cs="Times New Roman"/>
          <w:sz w:val="24"/>
          <w:szCs w:val="24"/>
        </w:rPr>
        <w:t xml:space="preserve"> </w:t>
      </w:r>
      <w:r w:rsidR="007E4FCC">
        <w:rPr>
          <w:rFonts w:cs="Times New Roman"/>
          <w:sz w:val="24"/>
          <w:szCs w:val="24"/>
        </w:rPr>
        <w:t xml:space="preserve">This emphasis on heightened educational achievement represented a change from policies in previous years, when much of the emphasis in state schools </w:t>
      </w:r>
      <w:r w:rsidR="00C32F8D">
        <w:rPr>
          <w:rFonts w:cs="Times New Roman"/>
          <w:sz w:val="24"/>
          <w:szCs w:val="24"/>
        </w:rPr>
        <w:t xml:space="preserve">in disadvantaged areas </w:t>
      </w:r>
      <w:r w:rsidR="007E4FCC">
        <w:rPr>
          <w:rFonts w:cs="Times New Roman"/>
          <w:sz w:val="24"/>
          <w:szCs w:val="24"/>
        </w:rPr>
        <w:t>was on assuring that schools were places where children would be safe.</w:t>
      </w:r>
      <w:r w:rsidR="00454AFA">
        <w:rPr>
          <w:rFonts w:cs="Times New Roman"/>
          <w:sz w:val="24"/>
          <w:szCs w:val="24"/>
        </w:rPr>
        <w:t xml:space="preserve"> </w:t>
      </w:r>
      <w:r w:rsidR="00394278">
        <w:rPr>
          <w:rFonts w:cs="Times New Roman"/>
          <w:sz w:val="24"/>
          <w:szCs w:val="24"/>
        </w:rPr>
        <w:t xml:space="preserve"> </w:t>
      </w:r>
      <w:r w:rsidR="006F3012">
        <w:rPr>
          <w:rFonts w:cs="Times New Roman"/>
          <w:sz w:val="24"/>
          <w:szCs w:val="24"/>
        </w:rPr>
        <w:t>Although these initiatives were national in scope and</w:t>
      </w:r>
      <w:r w:rsidR="007A0175">
        <w:rPr>
          <w:rFonts w:cs="Times New Roman"/>
          <w:sz w:val="24"/>
          <w:szCs w:val="24"/>
        </w:rPr>
        <w:t xml:space="preserve"> </w:t>
      </w:r>
      <w:r w:rsidR="006F3012" w:rsidRPr="00D24FA0">
        <w:rPr>
          <w:rFonts w:cs="Times New Roman"/>
          <w:sz w:val="24"/>
          <w:szCs w:val="24"/>
        </w:rPr>
        <w:t>hence applied to all areas</w:t>
      </w:r>
      <w:r w:rsidR="00D24FA0">
        <w:rPr>
          <w:rFonts w:cs="Times New Roman"/>
          <w:sz w:val="24"/>
          <w:szCs w:val="24"/>
        </w:rPr>
        <w:t xml:space="preserve">, </w:t>
      </w:r>
      <w:r w:rsidR="006F3012" w:rsidRPr="00D24FA0">
        <w:rPr>
          <w:rFonts w:cs="Times New Roman"/>
          <w:sz w:val="24"/>
          <w:szCs w:val="24"/>
        </w:rPr>
        <w:t xml:space="preserve">they were likely to have had disproportionately large effects in the Inner London Boroughs </w:t>
      </w:r>
      <w:r w:rsidR="00824CA7">
        <w:rPr>
          <w:rFonts w:cs="Times New Roman"/>
          <w:sz w:val="24"/>
          <w:szCs w:val="24"/>
        </w:rPr>
        <w:t xml:space="preserve">that were </w:t>
      </w:r>
      <w:r w:rsidR="006F3012" w:rsidRPr="00D24FA0">
        <w:rPr>
          <w:rFonts w:cs="Times New Roman"/>
          <w:sz w:val="24"/>
          <w:szCs w:val="24"/>
        </w:rPr>
        <w:t xml:space="preserve">serving high proportions of </w:t>
      </w:r>
      <w:r w:rsidR="001A4561" w:rsidRPr="00D24FA0">
        <w:rPr>
          <w:rFonts w:cs="Times New Roman"/>
          <w:sz w:val="24"/>
          <w:szCs w:val="24"/>
        </w:rPr>
        <w:t xml:space="preserve">disadvantaged </w:t>
      </w:r>
      <w:r w:rsidR="006F3012" w:rsidRPr="00D24FA0">
        <w:rPr>
          <w:rFonts w:cs="Times New Roman"/>
          <w:sz w:val="24"/>
          <w:szCs w:val="24"/>
        </w:rPr>
        <w:t>children</w:t>
      </w:r>
      <w:r w:rsidR="00C32F8D">
        <w:rPr>
          <w:rFonts w:cs="Times New Roman"/>
          <w:sz w:val="24"/>
          <w:szCs w:val="24"/>
        </w:rPr>
        <w:t xml:space="preserve"> and </w:t>
      </w:r>
      <w:r w:rsidR="00824CA7">
        <w:rPr>
          <w:rFonts w:cs="Times New Roman"/>
          <w:sz w:val="24"/>
          <w:szCs w:val="24"/>
        </w:rPr>
        <w:t xml:space="preserve">became pilots </w:t>
      </w:r>
      <w:r w:rsidR="00C32F8D">
        <w:rPr>
          <w:rFonts w:cs="Times New Roman"/>
          <w:sz w:val="24"/>
          <w:szCs w:val="24"/>
        </w:rPr>
        <w:t xml:space="preserve">for the national program.  </w:t>
      </w:r>
    </w:p>
    <w:p w14:paraId="371B217C" w14:textId="77777777" w:rsidR="001A4561" w:rsidRDefault="004E5C3E" w:rsidP="00C32F8D">
      <w:pPr>
        <w:contextualSpacing/>
        <w:rPr>
          <w:rFonts w:cs="Times New Roman"/>
          <w:sz w:val="24"/>
          <w:szCs w:val="24"/>
        </w:rPr>
      </w:pPr>
      <w:r>
        <w:rPr>
          <w:rFonts w:cs="Times New Roman"/>
          <w:sz w:val="24"/>
          <w:szCs w:val="24"/>
        </w:rPr>
        <w:tab/>
      </w:r>
    </w:p>
    <w:p w14:paraId="26E052DD" w14:textId="149B3FF3" w:rsidR="00394278" w:rsidRDefault="00A51A57" w:rsidP="007E4FCC">
      <w:pPr>
        <w:contextualSpacing/>
        <w:rPr>
          <w:rFonts w:cs="Times New Roman"/>
          <w:sz w:val="24"/>
          <w:szCs w:val="24"/>
        </w:rPr>
      </w:pPr>
      <w:r>
        <w:rPr>
          <w:rFonts w:cs="Times New Roman"/>
          <w:sz w:val="24"/>
          <w:szCs w:val="24"/>
        </w:rPr>
        <w:t xml:space="preserve">The Labour government </w:t>
      </w:r>
      <w:r w:rsidR="006F3012">
        <w:rPr>
          <w:rFonts w:cs="Times New Roman"/>
          <w:sz w:val="24"/>
          <w:szCs w:val="24"/>
        </w:rPr>
        <w:t xml:space="preserve">also </w:t>
      </w:r>
      <w:r w:rsidR="004E5C3E">
        <w:rPr>
          <w:rFonts w:cs="Times New Roman"/>
          <w:sz w:val="24"/>
          <w:szCs w:val="24"/>
        </w:rPr>
        <w:t xml:space="preserve">focused on early childhood programs.  </w:t>
      </w:r>
      <w:r w:rsidR="005979AE">
        <w:rPr>
          <w:rFonts w:cs="Times New Roman"/>
          <w:sz w:val="24"/>
          <w:szCs w:val="24"/>
        </w:rPr>
        <w:t xml:space="preserve">Its 2003 publication of </w:t>
      </w:r>
      <w:r w:rsidR="00D8391F">
        <w:rPr>
          <w:rFonts w:cs="Times New Roman"/>
          <w:sz w:val="24"/>
          <w:szCs w:val="24"/>
        </w:rPr>
        <w:t>a Green Paper entitled</w:t>
      </w:r>
      <w:r>
        <w:rPr>
          <w:rFonts w:cs="Times New Roman"/>
          <w:sz w:val="24"/>
          <w:szCs w:val="24"/>
        </w:rPr>
        <w:t xml:space="preserve"> </w:t>
      </w:r>
      <w:r w:rsidR="007E4FCC">
        <w:rPr>
          <w:rFonts w:cs="Times New Roman"/>
          <w:i/>
          <w:sz w:val="24"/>
          <w:szCs w:val="24"/>
        </w:rPr>
        <w:t xml:space="preserve">Every Child Matters: Change for Children </w:t>
      </w:r>
      <w:r w:rsidR="007E4FCC">
        <w:rPr>
          <w:rFonts w:cs="Times New Roman"/>
          <w:sz w:val="24"/>
          <w:szCs w:val="24"/>
        </w:rPr>
        <w:t xml:space="preserve">created a framework for radical restructuring of children’s services </w:t>
      </w:r>
      <w:r w:rsidR="004E5C3E">
        <w:rPr>
          <w:rFonts w:cs="Times New Roman"/>
          <w:sz w:val="24"/>
          <w:szCs w:val="24"/>
        </w:rPr>
        <w:t xml:space="preserve">throughout </w:t>
      </w:r>
      <w:r w:rsidR="007E4FCC">
        <w:rPr>
          <w:rFonts w:cs="Times New Roman"/>
          <w:sz w:val="24"/>
          <w:szCs w:val="24"/>
        </w:rPr>
        <w:t xml:space="preserve">England. Later that year Parliament enacted the Children’s Act, which, among other things, provided for the establishment of a network of Children’s Centers to provide wraparound health and other services </w:t>
      </w:r>
      <w:r w:rsidR="007A0175">
        <w:rPr>
          <w:rFonts w:cs="Times New Roman"/>
          <w:sz w:val="24"/>
          <w:szCs w:val="24"/>
        </w:rPr>
        <w:t>for families and children</w:t>
      </w:r>
      <w:r w:rsidR="00454AFA">
        <w:rPr>
          <w:rFonts w:cs="Times New Roman"/>
          <w:sz w:val="24"/>
          <w:szCs w:val="24"/>
        </w:rPr>
        <w:t xml:space="preserve">. </w:t>
      </w:r>
      <w:r w:rsidR="009E6DF2">
        <w:rPr>
          <w:rFonts w:cs="Times New Roman"/>
          <w:sz w:val="24"/>
          <w:szCs w:val="24"/>
        </w:rPr>
        <w:t>In</w:t>
      </w:r>
      <w:r>
        <w:rPr>
          <w:rFonts w:cs="Times New Roman"/>
          <w:sz w:val="24"/>
          <w:szCs w:val="24"/>
        </w:rPr>
        <w:t xml:space="preserve">itially </w:t>
      </w:r>
      <w:r w:rsidR="00454AFA">
        <w:rPr>
          <w:rFonts w:cs="Times New Roman"/>
          <w:sz w:val="24"/>
          <w:szCs w:val="24"/>
        </w:rPr>
        <w:t xml:space="preserve">established </w:t>
      </w:r>
      <w:r w:rsidR="007E4FCC">
        <w:rPr>
          <w:rFonts w:cs="Times New Roman"/>
          <w:sz w:val="24"/>
          <w:szCs w:val="24"/>
        </w:rPr>
        <w:t xml:space="preserve">in </w:t>
      </w:r>
      <w:r w:rsidR="007A0175">
        <w:rPr>
          <w:rFonts w:cs="Times New Roman"/>
          <w:sz w:val="24"/>
          <w:szCs w:val="24"/>
        </w:rPr>
        <w:t>t</w:t>
      </w:r>
      <w:r>
        <w:rPr>
          <w:rFonts w:cs="Times New Roman"/>
          <w:sz w:val="24"/>
          <w:szCs w:val="24"/>
        </w:rPr>
        <w:t xml:space="preserve">he </w:t>
      </w:r>
      <w:r w:rsidR="007E4FCC">
        <w:rPr>
          <w:rFonts w:cs="Times New Roman"/>
          <w:sz w:val="24"/>
          <w:szCs w:val="24"/>
        </w:rPr>
        <w:t xml:space="preserve">country’s most deprived </w:t>
      </w:r>
      <w:r w:rsidR="00454AFA">
        <w:rPr>
          <w:rFonts w:cs="Times New Roman"/>
          <w:sz w:val="24"/>
          <w:szCs w:val="24"/>
        </w:rPr>
        <w:t>local areas</w:t>
      </w:r>
      <w:r>
        <w:rPr>
          <w:rFonts w:cs="Times New Roman"/>
          <w:sz w:val="24"/>
          <w:szCs w:val="24"/>
        </w:rPr>
        <w:t>, they were later made universal, albeit with far less funding per</w:t>
      </w:r>
      <w:r w:rsidR="005979AE">
        <w:rPr>
          <w:rFonts w:cs="Times New Roman"/>
          <w:sz w:val="24"/>
          <w:szCs w:val="24"/>
        </w:rPr>
        <w:t xml:space="preserve"> </w:t>
      </w:r>
      <w:r>
        <w:rPr>
          <w:rFonts w:cs="Times New Roman"/>
          <w:sz w:val="24"/>
          <w:szCs w:val="24"/>
        </w:rPr>
        <w:t xml:space="preserve">child. </w:t>
      </w:r>
      <w:r w:rsidR="00454AFA">
        <w:rPr>
          <w:rFonts w:cs="Times New Roman"/>
          <w:sz w:val="24"/>
          <w:szCs w:val="24"/>
        </w:rPr>
        <w:t>It is still</w:t>
      </w:r>
      <w:r>
        <w:rPr>
          <w:rFonts w:cs="Times New Roman"/>
          <w:sz w:val="24"/>
          <w:szCs w:val="24"/>
        </w:rPr>
        <w:t xml:space="preserve"> </w:t>
      </w:r>
      <w:r w:rsidR="005979AE">
        <w:rPr>
          <w:rFonts w:cs="Times New Roman"/>
          <w:sz w:val="24"/>
          <w:szCs w:val="24"/>
        </w:rPr>
        <w:t xml:space="preserve">far </w:t>
      </w:r>
      <w:r>
        <w:rPr>
          <w:rFonts w:cs="Times New Roman"/>
          <w:sz w:val="24"/>
          <w:szCs w:val="24"/>
        </w:rPr>
        <w:t>too early to attribute m</w:t>
      </w:r>
      <w:r w:rsidR="00454AFA">
        <w:rPr>
          <w:rFonts w:cs="Times New Roman"/>
          <w:sz w:val="24"/>
          <w:szCs w:val="24"/>
        </w:rPr>
        <w:t>uch o</w:t>
      </w:r>
      <w:r>
        <w:rPr>
          <w:rFonts w:cs="Times New Roman"/>
          <w:sz w:val="24"/>
          <w:szCs w:val="24"/>
        </w:rPr>
        <w:t xml:space="preserve">f the </w:t>
      </w:r>
      <w:r w:rsidR="005979AE">
        <w:rPr>
          <w:rFonts w:cs="Times New Roman"/>
          <w:sz w:val="24"/>
          <w:szCs w:val="24"/>
        </w:rPr>
        <w:t xml:space="preserve">achievement </w:t>
      </w:r>
      <w:r>
        <w:rPr>
          <w:rFonts w:cs="Times New Roman"/>
          <w:sz w:val="24"/>
          <w:szCs w:val="24"/>
        </w:rPr>
        <w:t>gains of 11-year olds in Inner London to the Children’s Center</w:t>
      </w:r>
      <w:r w:rsidR="00454AFA">
        <w:rPr>
          <w:rFonts w:cs="Times New Roman"/>
          <w:sz w:val="24"/>
          <w:szCs w:val="24"/>
        </w:rPr>
        <w:t>s</w:t>
      </w:r>
      <w:r w:rsidR="005979AE">
        <w:rPr>
          <w:rFonts w:cs="Times New Roman"/>
          <w:sz w:val="24"/>
          <w:szCs w:val="24"/>
        </w:rPr>
        <w:t xml:space="preserve">. </w:t>
      </w:r>
      <w:r w:rsidR="00573F9B">
        <w:rPr>
          <w:rFonts w:cs="Times New Roman"/>
          <w:sz w:val="24"/>
          <w:szCs w:val="24"/>
        </w:rPr>
        <w:t xml:space="preserve">That is clearly the case for Tower Hamlets. </w:t>
      </w:r>
      <w:r w:rsidR="00C32F8D">
        <w:rPr>
          <w:rFonts w:cs="Times New Roman"/>
          <w:sz w:val="24"/>
          <w:szCs w:val="24"/>
        </w:rPr>
        <w:t>Nonetheless, t</w:t>
      </w:r>
      <w:r w:rsidR="007A0175">
        <w:rPr>
          <w:rFonts w:cs="Times New Roman"/>
          <w:sz w:val="24"/>
          <w:szCs w:val="24"/>
        </w:rPr>
        <w:t xml:space="preserve">he </w:t>
      </w:r>
      <w:r w:rsidR="00454AFA">
        <w:rPr>
          <w:rFonts w:cs="Times New Roman"/>
          <w:sz w:val="24"/>
          <w:szCs w:val="24"/>
        </w:rPr>
        <w:t xml:space="preserve">large number and </w:t>
      </w:r>
      <w:r w:rsidR="007A0175">
        <w:rPr>
          <w:rFonts w:cs="Times New Roman"/>
          <w:sz w:val="24"/>
          <w:szCs w:val="24"/>
        </w:rPr>
        <w:t>high quality of the centers</w:t>
      </w:r>
      <w:r w:rsidR="00420D78">
        <w:rPr>
          <w:rFonts w:cs="Times New Roman"/>
          <w:sz w:val="24"/>
          <w:szCs w:val="24"/>
        </w:rPr>
        <w:t xml:space="preserve">, particularly </w:t>
      </w:r>
      <w:r w:rsidR="007A0175">
        <w:rPr>
          <w:rFonts w:cs="Times New Roman"/>
          <w:sz w:val="24"/>
          <w:szCs w:val="24"/>
        </w:rPr>
        <w:t>in Hackney</w:t>
      </w:r>
      <w:r w:rsidR="00FE30D5">
        <w:rPr>
          <w:rFonts w:cs="Times New Roman"/>
          <w:sz w:val="24"/>
          <w:szCs w:val="24"/>
        </w:rPr>
        <w:t xml:space="preserve"> </w:t>
      </w:r>
      <w:r w:rsidR="00573F9B">
        <w:rPr>
          <w:rFonts w:cs="Times New Roman"/>
          <w:sz w:val="24"/>
          <w:szCs w:val="24"/>
        </w:rPr>
        <w:t>in recent years</w:t>
      </w:r>
      <w:r w:rsidR="00420D78">
        <w:rPr>
          <w:rFonts w:cs="Times New Roman"/>
          <w:sz w:val="24"/>
          <w:szCs w:val="24"/>
        </w:rPr>
        <w:t xml:space="preserve">, </w:t>
      </w:r>
      <w:r w:rsidR="007A0175">
        <w:rPr>
          <w:rFonts w:cs="Times New Roman"/>
          <w:sz w:val="24"/>
          <w:szCs w:val="24"/>
        </w:rPr>
        <w:t xml:space="preserve">appear to </w:t>
      </w:r>
      <w:r w:rsidR="005979AE">
        <w:rPr>
          <w:rFonts w:cs="Times New Roman"/>
          <w:sz w:val="24"/>
          <w:szCs w:val="24"/>
        </w:rPr>
        <w:t xml:space="preserve">have </w:t>
      </w:r>
      <w:r w:rsidR="004E5C3E">
        <w:rPr>
          <w:rFonts w:cs="Times New Roman"/>
          <w:sz w:val="24"/>
          <w:szCs w:val="24"/>
        </w:rPr>
        <w:t xml:space="preserve">made it easier for </w:t>
      </w:r>
      <w:r w:rsidR="005979AE">
        <w:rPr>
          <w:rFonts w:cs="Times New Roman"/>
          <w:sz w:val="24"/>
          <w:szCs w:val="24"/>
        </w:rPr>
        <w:t xml:space="preserve">primary schools </w:t>
      </w:r>
      <w:r w:rsidR="00A52602">
        <w:rPr>
          <w:rFonts w:cs="Times New Roman"/>
          <w:sz w:val="24"/>
          <w:szCs w:val="24"/>
        </w:rPr>
        <w:t xml:space="preserve">effectively </w:t>
      </w:r>
      <w:r w:rsidR="004E5C3E">
        <w:rPr>
          <w:rFonts w:cs="Times New Roman"/>
          <w:sz w:val="24"/>
          <w:szCs w:val="24"/>
        </w:rPr>
        <w:t xml:space="preserve">to </w:t>
      </w:r>
      <w:r w:rsidR="00A52602">
        <w:rPr>
          <w:rFonts w:cs="Times New Roman"/>
          <w:sz w:val="24"/>
          <w:szCs w:val="24"/>
        </w:rPr>
        <w:t xml:space="preserve">serve </w:t>
      </w:r>
      <w:r w:rsidR="005979AE">
        <w:rPr>
          <w:rFonts w:cs="Times New Roman"/>
          <w:sz w:val="24"/>
          <w:szCs w:val="24"/>
        </w:rPr>
        <w:t>children from disadvantaged families</w:t>
      </w:r>
      <w:r w:rsidR="00573F9B">
        <w:rPr>
          <w:rFonts w:cs="Times New Roman"/>
          <w:sz w:val="24"/>
          <w:szCs w:val="24"/>
        </w:rPr>
        <w:t xml:space="preserve"> in that borough</w:t>
      </w:r>
      <w:r w:rsidR="005979AE">
        <w:rPr>
          <w:rFonts w:cs="Times New Roman"/>
          <w:sz w:val="24"/>
          <w:szCs w:val="24"/>
        </w:rPr>
        <w:t xml:space="preserve">. </w:t>
      </w:r>
      <w:r w:rsidR="00433AC9">
        <w:rPr>
          <w:rFonts w:cs="Times New Roman"/>
          <w:sz w:val="24"/>
          <w:szCs w:val="24"/>
        </w:rPr>
        <w:t xml:space="preserve"> </w:t>
      </w:r>
    </w:p>
    <w:p w14:paraId="06D7A056" w14:textId="77777777" w:rsidR="005979AE" w:rsidRDefault="005979AE" w:rsidP="007E4FCC">
      <w:pPr>
        <w:contextualSpacing/>
        <w:rPr>
          <w:rFonts w:cs="Times New Roman"/>
          <w:sz w:val="24"/>
          <w:szCs w:val="24"/>
        </w:rPr>
      </w:pPr>
    </w:p>
    <w:p w14:paraId="192EB1A0" w14:textId="29941FB8" w:rsidR="0095667A" w:rsidRDefault="00053860" w:rsidP="007E4FCC">
      <w:pPr>
        <w:contextualSpacing/>
        <w:rPr>
          <w:rFonts w:cs="Times New Roman"/>
          <w:sz w:val="24"/>
          <w:szCs w:val="24"/>
        </w:rPr>
      </w:pPr>
      <w:r>
        <w:rPr>
          <w:rFonts w:cs="Times New Roman"/>
          <w:sz w:val="24"/>
          <w:szCs w:val="24"/>
        </w:rPr>
        <w:t>Two other policy initiatives receive atte</w:t>
      </w:r>
      <w:r w:rsidR="00FE30D5">
        <w:rPr>
          <w:rFonts w:cs="Times New Roman"/>
          <w:sz w:val="24"/>
          <w:szCs w:val="24"/>
        </w:rPr>
        <w:t xml:space="preserve">ntion in discussions about the </w:t>
      </w:r>
      <w:r>
        <w:rPr>
          <w:rFonts w:cs="Times New Roman"/>
          <w:sz w:val="24"/>
          <w:szCs w:val="24"/>
        </w:rPr>
        <w:t>London Effe</w:t>
      </w:r>
      <w:r w:rsidR="00FE30D5">
        <w:rPr>
          <w:rFonts w:cs="Times New Roman"/>
          <w:sz w:val="24"/>
          <w:szCs w:val="24"/>
        </w:rPr>
        <w:t>ct</w:t>
      </w:r>
      <w:r w:rsidR="00020C87">
        <w:rPr>
          <w:rFonts w:cs="Times New Roman"/>
          <w:sz w:val="24"/>
          <w:szCs w:val="24"/>
        </w:rPr>
        <w:t xml:space="preserve"> but are less directly </w:t>
      </w:r>
      <w:r w:rsidR="0053637C">
        <w:rPr>
          <w:rFonts w:cs="Times New Roman"/>
          <w:sz w:val="24"/>
          <w:szCs w:val="24"/>
        </w:rPr>
        <w:t xml:space="preserve">relevant </w:t>
      </w:r>
      <w:r>
        <w:rPr>
          <w:rFonts w:cs="Times New Roman"/>
          <w:sz w:val="24"/>
          <w:szCs w:val="24"/>
        </w:rPr>
        <w:t xml:space="preserve">for our investigation of primary schools because both apply </w:t>
      </w:r>
      <w:r w:rsidR="004E5C3E">
        <w:rPr>
          <w:rFonts w:cs="Times New Roman"/>
          <w:sz w:val="24"/>
          <w:szCs w:val="24"/>
        </w:rPr>
        <w:t xml:space="preserve">mainly </w:t>
      </w:r>
      <w:r>
        <w:rPr>
          <w:rFonts w:cs="Times New Roman"/>
          <w:sz w:val="24"/>
          <w:szCs w:val="24"/>
        </w:rPr>
        <w:t>to secondary schools. One is the “London Challenge</w:t>
      </w:r>
      <w:r w:rsidR="007108D0">
        <w:rPr>
          <w:rFonts w:cs="Times New Roman"/>
          <w:sz w:val="24"/>
          <w:szCs w:val="24"/>
        </w:rPr>
        <w:t>,</w:t>
      </w:r>
      <w:r>
        <w:rPr>
          <w:rFonts w:cs="Times New Roman"/>
          <w:sz w:val="24"/>
          <w:szCs w:val="24"/>
        </w:rPr>
        <w:t xml:space="preserve">” </w:t>
      </w:r>
      <w:r w:rsidR="007A0175">
        <w:rPr>
          <w:rFonts w:cs="Times New Roman"/>
          <w:sz w:val="24"/>
          <w:szCs w:val="24"/>
        </w:rPr>
        <w:t xml:space="preserve">which </w:t>
      </w:r>
      <w:r w:rsidR="007108D0">
        <w:rPr>
          <w:rFonts w:cs="Times New Roman"/>
          <w:sz w:val="24"/>
          <w:szCs w:val="24"/>
        </w:rPr>
        <w:t xml:space="preserve">began </w:t>
      </w:r>
      <w:r w:rsidR="00020C87">
        <w:rPr>
          <w:rFonts w:cs="Times New Roman"/>
          <w:sz w:val="24"/>
          <w:szCs w:val="24"/>
        </w:rPr>
        <w:t>officially</w:t>
      </w:r>
      <w:r w:rsidR="007108D0">
        <w:rPr>
          <w:rFonts w:cs="Times New Roman"/>
          <w:sz w:val="24"/>
          <w:szCs w:val="24"/>
        </w:rPr>
        <w:t xml:space="preserve"> </w:t>
      </w:r>
      <w:r w:rsidR="00020C87">
        <w:rPr>
          <w:rFonts w:cs="Times New Roman"/>
          <w:sz w:val="24"/>
          <w:szCs w:val="24"/>
        </w:rPr>
        <w:t>in 20</w:t>
      </w:r>
      <w:r w:rsidR="007108D0">
        <w:rPr>
          <w:rFonts w:cs="Times New Roman"/>
          <w:sz w:val="24"/>
          <w:szCs w:val="24"/>
        </w:rPr>
        <w:t>03 and continued for five years.</w:t>
      </w:r>
      <w:r w:rsidR="00E1255C">
        <w:rPr>
          <w:rStyle w:val="FootnoteReference"/>
          <w:rFonts w:cs="Times New Roman"/>
          <w:sz w:val="24"/>
          <w:szCs w:val="24"/>
        </w:rPr>
        <w:footnoteReference w:id="13"/>
      </w:r>
      <w:r w:rsidR="00020C87">
        <w:rPr>
          <w:rFonts w:cs="Times New Roman"/>
          <w:sz w:val="24"/>
          <w:szCs w:val="24"/>
        </w:rPr>
        <w:t xml:space="preserve">  </w:t>
      </w:r>
      <w:r w:rsidR="00E1255C">
        <w:rPr>
          <w:rFonts w:cs="Times New Roman"/>
          <w:sz w:val="24"/>
          <w:szCs w:val="24"/>
        </w:rPr>
        <w:t xml:space="preserve">The goal of this partnership </w:t>
      </w:r>
      <w:r w:rsidR="0053637C">
        <w:rPr>
          <w:rFonts w:cs="Times New Roman"/>
          <w:sz w:val="24"/>
          <w:szCs w:val="24"/>
        </w:rPr>
        <w:t>between central government</w:t>
      </w:r>
      <w:r w:rsidR="00E1255C">
        <w:rPr>
          <w:rFonts w:cs="Times New Roman"/>
          <w:sz w:val="24"/>
          <w:szCs w:val="24"/>
        </w:rPr>
        <w:t xml:space="preserve"> and </w:t>
      </w:r>
      <w:r w:rsidR="0053637C">
        <w:rPr>
          <w:rFonts w:cs="Times New Roman"/>
          <w:sz w:val="24"/>
          <w:szCs w:val="24"/>
        </w:rPr>
        <w:t>local authorities, schools and other key local stakeholders</w:t>
      </w:r>
      <w:r w:rsidR="00E1255C">
        <w:rPr>
          <w:rFonts w:cs="Times New Roman"/>
          <w:sz w:val="24"/>
          <w:szCs w:val="24"/>
        </w:rPr>
        <w:t xml:space="preserve"> was to improve secondary schools within </w:t>
      </w:r>
      <w:r w:rsidR="00FE30D5">
        <w:rPr>
          <w:rFonts w:cs="Times New Roman"/>
          <w:sz w:val="24"/>
          <w:szCs w:val="24"/>
        </w:rPr>
        <w:t xml:space="preserve">designated </w:t>
      </w:r>
      <w:r w:rsidR="00E26256">
        <w:rPr>
          <w:rFonts w:cs="Times New Roman"/>
          <w:sz w:val="24"/>
          <w:szCs w:val="24"/>
        </w:rPr>
        <w:t xml:space="preserve">geographic </w:t>
      </w:r>
      <w:r w:rsidR="00E1255C">
        <w:rPr>
          <w:rFonts w:cs="Times New Roman"/>
          <w:sz w:val="24"/>
          <w:szCs w:val="24"/>
        </w:rPr>
        <w:t>areas by changing the culture and raising expectations.  Importantly, it imposed no single view of what schools needed to do to improve</w:t>
      </w:r>
      <w:r w:rsidR="00FE30D5">
        <w:rPr>
          <w:rFonts w:cs="Times New Roman"/>
          <w:sz w:val="24"/>
          <w:szCs w:val="24"/>
        </w:rPr>
        <w:t xml:space="preserve"> and, instead, allowed </w:t>
      </w:r>
      <w:r w:rsidR="00E26256">
        <w:rPr>
          <w:rFonts w:cs="Times New Roman"/>
          <w:sz w:val="24"/>
          <w:szCs w:val="24"/>
        </w:rPr>
        <w:t>borough</w:t>
      </w:r>
      <w:r w:rsidR="001A4561">
        <w:rPr>
          <w:rFonts w:cs="Times New Roman"/>
          <w:sz w:val="24"/>
          <w:szCs w:val="24"/>
        </w:rPr>
        <w:t>s</w:t>
      </w:r>
      <w:r w:rsidR="00E26256">
        <w:rPr>
          <w:rFonts w:cs="Times New Roman"/>
          <w:sz w:val="24"/>
          <w:szCs w:val="24"/>
        </w:rPr>
        <w:t xml:space="preserve"> </w:t>
      </w:r>
      <w:r w:rsidR="00FE30D5">
        <w:rPr>
          <w:rFonts w:cs="Times New Roman"/>
          <w:sz w:val="24"/>
          <w:szCs w:val="24"/>
        </w:rPr>
        <w:t xml:space="preserve">to </w:t>
      </w:r>
      <w:r w:rsidR="00E54F9A">
        <w:rPr>
          <w:rFonts w:cs="Times New Roman"/>
          <w:sz w:val="24"/>
          <w:szCs w:val="24"/>
        </w:rPr>
        <w:t xml:space="preserve">pursue their own strategies within a framework of area-wide improvement, high expectations for schools and students accompanied </w:t>
      </w:r>
      <w:r w:rsidR="00A52602">
        <w:rPr>
          <w:rFonts w:cs="Times New Roman"/>
          <w:sz w:val="24"/>
          <w:szCs w:val="24"/>
        </w:rPr>
        <w:t xml:space="preserve">by </w:t>
      </w:r>
      <w:r w:rsidR="00E54F9A">
        <w:rPr>
          <w:rFonts w:cs="Times New Roman"/>
          <w:sz w:val="24"/>
          <w:szCs w:val="24"/>
        </w:rPr>
        <w:t xml:space="preserve">positive and constructive supports, and individual schools working together to expand good practice across schools.  </w:t>
      </w:r>
      <w:r w:rsidR="00C32F8D">
        <w:rPr>
          <w:rFonts w:cs="Times New Roman"/>
          <w:sz w:val="24"/>
          <w:szCs w:val="24"/>
        </w:rPr>
        <w:t xml:space="preserve">Although the </w:t>
      </w:r>
      <w:r w:rsidR="00E54F9A">
        <w:rPr>
          <w:rFonts w:cs="Times New Roman"/>
          <w:sz w:val="24"/>
          <w:szCs w:val="24"/>
        </w:rPr>
        <w:t xml:space="preserve">approach </w:t>
      </w:r>
      <w:r w:rsidR="00C32F8D">
        <w:rPr>
          <w:rFonts w:cs="Times New Roman"/>
          <w:sz w:val="24"/>
          <w:szCs w:val="24"/>
        </w:rPr>
        <w:t xml:space="preserve">was </w:t>
      </w:r>
      <w:r w:rsidR="00E54F9A">
        <w:rPr>
          <w:rFonts w:cs="Times New Roman"/>
          <w:sz w:val="24"/>
          <w:szCs w:val="24"/>
        </w:rPr>
        <w:t xml:space="preserve">expanded </w:t>
      </w:r>
      <w:r w:rsidR="00C32F8D">
        <w:rPr>
          <w:rFonts w:cs="Times New Roman"/>
          <w:sz w:val="24"/>
          <w:szCs w:val="24"/>
        </w:rPr>
        <w:t xml:space="preserve">in 2007 (with a name change) </w:t>
      </w:r>
      <w:r w:rsidR="00E54F9A">
        <w:rPr>
          <w:rFonts w:cs="Times New Roman"/>
          <w:sz w:val="24"/>
          <w:szCs w:val="24"/>
        </w:rPr>
        <w:t xml:space="preserve">to </w:t>
      </w:r>
      <w:r w:rsidR="005D6639">
        <w:rPr>
          <w:rFonts w:cs="Times New Roman"/>
          <w:sz w:val="24"/>
          <w:szCs w:val="24"/>
        </w:rPr>
        <w:t xml:space="preserve">Birmingham and Manchester and also to </w:t>
      </w:r>
      <w:r w:rsidR="00C32F8D">
        <w:rPr>
          <w:rFonts w:cs="Times New Roman"/>
          <w:sz w:val="24"/>
          <w:szCs w:val="24"/>
        </w:rPr>
        <w:t xml:space="preserve">a few </w:t>
      </w:r>
      <w:r w:rsidR="005D6639">
        <w:rPr>
          <w:rFonts w:cs="Times New Roman"/>
          <w:sz w:val="24"/>
          <w:szCs w:val="24"/>
        </w:rPr>
        <w:t>primary schools</w:t>
      </w:r>
      <w:r w:rsidR="00C32F8D">
        <w:rPr>
          <w:rFonts w:cs="Times New Roman"/>
          <w:sz w:val="24"/>
          <w:szCs w:val="24"/>
        </w:rPr>
        <w:t xml:space="preserve"> in the three cities, its main focus for the five years it existed was secondary schools in London.  </w:t>
      </w:r>
      <w:r w:rsidR="00E54F9A">
        <w:rPr>
          <w:rFonts w:cs="Times New Roman"/>
          <w:sz w:val="24"/>
          <w:szCs w:val="24"/>
        </w:rPr>
        <w:t xml:space="preserve"> </w:t>
      </w:r>
      <w:r w:rsidR="00C32F8D">
        <w:rPr>
          <w:rFonts w:cs="Times New Roman"/>
          <w:sz w:val="24"/>
          <w:szCs w:val="24"/>
        </w:rPr>
        <w:t>Although some observers (e.g. CfBT</w:t>
      </w:r>
      <w:r w:rsidR="00A908CA">
        <w:rPr>
          <w:rFonts w:cs="Times New Roman"/>
          <w:sz w:val="24"/>
          <w:szCs w:val="24"/>
        </w:rPr>
        <w:t xml:space="preserve"> Education Trust, 2014)</w:t>
      </w:r>
      <w:r w:rsidR="00C32F8D">
        <w:rPr>
          <w:rFonts w:cs="Times New Roman"/>
          <w:sz w:val="24"/>
          <w:szCs w:val="24"/>
        </w:rPr>
        <w:t xml:space="preserve"> have credited the London Effect in part to this </w:t>
      </w:r>
      <w:r w:rsidR="005D6639">
        <w:rPr>
          <w:rFonts w:cs="Times New Roman"/>
          <w:sz w:val="24"/>
          <w:szCs w:val="24"/>
        </w:rPr>
        <w:t>London-specific program, which researchers have deemed</w:t>
      </w:r>
      <w:r w:rsidR="00A52602">
        <w:rPr>
          <w:rFonts w:cs="Times New Roman"/>
          <w:sz w:val="24"/>
          <w:szCs w:val="24"/>
        </w:rPr>
        <w:t xml:space="preserve"> </w:t>
      </w:r>
      <w:r w:rsidR="005D6639">
        <w:rPr>
          <w:rFonts w:cs="Times New Roman"/>
          <w:sz w:val="24"/>
          <w:szCs w:val="24"/>
        </w:rPr>
        <w:t>effective, it cannot explain the impr</w:t>
      </w:r>
      <w:r w:rsidR="00FE30D5">
        <w:rPr>
          <w:rFonts w:cs="Times New Roman"/>
          <w:sz w:val="24"/>
          <w:szCs w:val="24"/>
        </w:rPr>
        <w:t xml:space="preserve">ovement in the primary </w:t>
      </w:r>
      <w:r w:rsidR="00FE30D5" w:rsidRPr="00C217B1">
        <w:rPr>
          <w:rFonts w:cs="Times New Roman"/>
          <w:sz w:val="24"/>
          <w:szCs w:val="24"/>
        </w:rPr>
        <w:t>schools.</w:t>
      </w:r>
      <w:r w:rsidR="005D6639" w:rsidRPr="00C217B1">
        <w:rPr>
          <w:rFonts w:cs="Times New Roman"/>
          <w:sz w:val="24"/>
          <w:szCs w:val="24"/>
        </w:rPr>
        <w:t xml:space="preserve"> As will</w:t>
      </w:r>
      <w:r w:rsidR="005D6639">
        <w:rPr>
          <w:rFonts w:cs="Times New Roman"/>
          <w:sz w:val="24"/>
          <w:szCs w:val="24"/>
        </w:rPr>
        <w:t xml:space="preserve"> become clear below, however, </w:t>
      </w:r>
      <w:r w:rsidR="00B66758">
        <w:rPr>
          <w:rFonts w:cs="Times New Roman"/>
          <w:sz w:val="24"/>
          <w:szCs w:val="24"/>
        </w:rPr>
        <w:t xml:space="preserve">most of the core </w:t>
      </w:r>
      <w:r w:rsidR="005D6639">
        <w:rPr>
          <w:rFonts w:cs="Times New Roman"/>
          <w:sz w:val="24"/>
          <w:szCs w:val="24"/>
        </w:rPr>
        <w:t xml:space="preserve">values that drove the London Challenge also drove school improvement in Hackney and Tower Hamlets. </w:t>
      </w:r>
      <w:r w:rsidR="00B66758">
        <w:rPr>
          <w:rFonts w:cs="Times New Roman"/>
          <w:sz w:val="24"/>
          <w:szCs w:val="24"/>
        </w:rPr>
        <w:t xml:space="preserve">Significantly, however, </w:t>
      </w:r>
      <w:r w:rsidR="005D6639">
        <w:rPr>
          <w:rFonts w:cs="Times New Roman"/>
          <w:sz w:val="24"/>
          <w:szCs w:val="24"/>
        </w:rPr>
        <w:t xml:space="preserve">the improvement </w:t>
      </w:r>
      <w:r w:rsidR="007108D0">
        <w:rPr>
          <w:rFonts w:cs="Times New Roman"/>
          <w:sz w:val="24"/>
          <w:szCs w:val="24"/>
        </w:rPr>
        <w:t>in</w:t>
      </w:r>
      <w:r w:rsidR="007108D0" w:rsidRPr="007108D0">
        <w:rPr>
          <w:rFonts w:cs="Times New Roman"/>
          <w:sz w:val="24"/>
          <w:szCs w:val="24"/>
        </w:rPr>
        <w:t xml:space="preserve"> </w:t>
      </w:r>
      <w:r w:rsidR="007108D0">
        <w:rPr>
          <w:rFonts w:cs="Times New Roman"/>
          <w:sz w:val="24"/>
          <w:szCs w:val="24"/>
        </w:rPr>
        <w:t xml:space="preserve">Tower Hamlets </w:t>
      </w:r>
      <w:r w:rsidR="005D6639">
        <w:rPr>
          <w:rFonts w:cs="Times New Roman"/>
          <w:sz w:val="24"/>
          <w:szCs w:val="24"/>
        </w:rPr>
        <w:t>preceded the London Challenge.</w:t>
      </w:r>
    </w:p>
    <w:p w14:paraId="2F610B50" w14:textId="77777777" w:rsidR="005D6639" w:rsidRDefault="005D6639" w:rsidP="007E4FCC">
      <w:pPr>
        <w:contextualSpacing/>
        <w:rPr>
          <w:rFonts w:cs="Times New Roman"/>
          <w:sz w:val="24"/>
          <w:szCs w:val="24"/>
        </w:rPr>
      </w:pPr>
    </w:p>
    <w:p w14:paraId="38FBBAC7" w14:textId="0B707A8A" w:rsidR="0095667A" w:rsidRDefault="0095667A" w:rsidP="007E4FCC">
      <w:pPr>
        <w:contextualSpacing/>
        <w:rPr>
          <w:rFonts w:cs="Times New Roman"/>
          <w:sz w:val="24"/>
          <w:szCs w:val="24"/>
        </w:rPr>
      </w:pPr>
      <w:r>
        <w:rPr>
          <w:rFonts w:cs="Times New Roman"/>
          <w:sz w:val="24"/>
          <w:szCs w:val="24"/>
        </w:rPr>
        <w:t xml:space="preserve">The other </w:t>
      </w:r>
      <w:r w:rsidR="002A2462">
        <w:rPr>
          <w:rFonts w:cs="Times New Roman"/>
          <w:sz w:val="24"/>
          <w:szCs w:val="24"/>
        </w:rPr>
        <w:t xml:space="preserve">national policy initiative during the period was the </w:t>
      </w:r>
      <w:r w:rsidR="001A4561">
        <w:rPr>
          <w:rFonts w:cs="Times New Roman"/>
          <w:sz w:val="24"/>
          <w:szCs w:val="24"/>
        </w:rPr>
        <w:t xml:space="preserve">Academies Programme </w:t>
      </w:r>
      <w:r w:rsidR="00E87FCC">
        <w:rPr>
          <w:rFonts w:cs="Times New Roman"/>
          <w:sz w:val="24"/>
          <w:szCs w:val="24"/>
        </w:rPr>
        <w:t xml:space="preserve">established by </w:t>
      </w:r>
      <w:r w:rsidR="001A4561">
        <w:rPr>
          <w:rFonts w:cs="Times New Roman"/>
          <w:sz w:val="24"/>
          <w:szCs w:val="24"/>
        </w:rPr>
        <w:t>Labour in 200</w:t>
      </w:r>
      <w:r w:rsidR="00E87FCC">
        <w:rPr>
          <w:rFonts w:cs="Times New Roman"/>
          <w:sz w:val="24"/>
          <w:szCs w:val="24"/>
        </w:rPr>
        <w:t>2</w:t>
      </w:r>
      <w:r w:rsidR="001A4561">
        <w:rPr>
          <w:rFonts w:cs="Times New Roman"/>
          <w:sz w:val="24"/>
          <w:szCs w:val="24"/>
        </w:rPr>
        <w:t>. Academies are schools that are outside the control of local authorities</w:t>
      </w:r>
      <w:r w:rsidR="007108D0">
        <w:rPr>
          <w:rFonts w:cs="Times New Roman"/>
          <w:sz w:val="24"/>
          <w:szCs w:val="24"/>
        </w:rPr>
        <w:t xml:space="preserve"> and</w:t>
      </w:r>
      <w:r w:rsidR="00E87FCC">
        <w:rPr>
          <w:rFonts w:cs="Times New Roman"/>
          <w:sz w:val="24"/>
          <w:szCs w:val="24"/>
        </w:rPr>
        <w:t xml:space="preserve"> report only to the national government.</w:t>
      </w:r>
      <w:r w:rsidR="001A4561">
        <w:rPr>
          <w:rFonts w:cs="Times New Roman"/>
          <w:sz w:val="24"/>
          <w:szCs w:val="24"/>
        </w:rPr>
        <w:t xml:space="preserve"> </w:t>
      </w:r>
      <w:r w:rsidR="00E87FCC">
        <w:rPr>
          <w:rFonts w:cs="Times New Roman"/>
          <w:sz w:val="24"/>
          <w:szCs w:val="24"/>
        </w:rPr>
        <w:t xml:space="preserve">Academies were </w:t>
      </w:r>
      <w:r w:rsidR="001A4561">
        <w:rPr>
          <w:rFonts w:cs="Times New Roman"/>
          <w:sz w:val="24"/>
          <w:szCs w:val="24"/>
        </w:rPr>
        <w:t>initially intended to serve secondary school students in disadvantaged area</w:t>
      </w:r>
      <w:r w:rsidR="008E1A55">
        <w:rPr>
          <w:rFonts w:cs="Times New Roman"/>
          <w:sz w:val="24"/>
          <w:szCs w:val="24"/>
        </w:rPr>
        <w:t>s</w:t>
      </w:r>
      <w:r w:rsidR="007108D0">
        <w:rPr>
          <w:rFonts w:cs="Times New Roman"/>
          <w:sz w:val="24"/>
          <w:szCs w:val="24"/>
        </w:rPr>
        <w:t>,</w:t>
      </w:r>
      <w:r w:rsidR="00E87FCC">
        <w:rPr>
          <w:rFonts w:cs="Times New Roman"/>
          <w:sz w:val="24"/>
          <w:szCs w:val="24"/>
        </w:rPr>
        <w:t xml:space="preserve"> and by</w:t>
      </w:r>
      <w:r w:rsidR="001A4561">
        <w:rPr>
          <w:rFonts w:cs="Times New Roman"/>
          <w:sz w:val="24"/>
          <w:szCs w:val="24"/>
        </w:rPr>
        <w:t xml:space="preserve"> 2010, the</w:t>
      </w:r>
      <w:r w:rsidR="00911CE2">
        <w:rPr>
          <w:rFonts w:cs="Times New Roman"/>
          <w:sz w:val="24"/>
          <w:szCs w:val="24"/>
        </w:rPr>
        <w:t>re were 203 of them</w:t>
      </w:r>
      <w:r w:rsidR="001A4561">
        <w:rPr>
          <w:rFonts w:cs="Times New Roman"/>
          <w:sz w:val="24"/>
          <w:szCs w:val="24"/>
        </w:rPr>
        <w:t xml:space="preserve"> (Machin report)</w:t>
      </w:r>
      <w:r w:rsidR="007108D0">
        <w:rPr>
          <w:rFonts w:cs="Times New Roman"/>
          <w:sz w:val="24"/>
          <w:szCs w:val="24"/>
        </w:rPr>
        <w:t>. The Coalition G</w:t>
      </w:r>
      <w:r w:rsidR="00E87FCC">
        <w:rPr>
          <w:rFonts w:cs="Times New Roman"/>
          <w:sz w:val="24"/>
          <w:szCs w:val="24"/>
        </w:rPr>
        <w:t xml:space="preserve">overnment that </w:t>
      </w:r>
      <w:r w:rsidR="007108D0">
        <w:rPr>
          <w:rFonts w:cs="Times New Roman"/>
          <w:sz w:val="24"/>
          <w:szCs w:val="24"/>
        </w:rPr>
        <w:t xml:space="preserve">succeeded Labour </w:t>
      </w:r>
      <w:r w:rsidR="00E87FCC">
        <w:rPr>
          <w:rFonts w:cs="Times New Roman"/>
          <w:sz w:val="24"/>
          <w:szCs w:val="24"/>
        </w:rPr>
        <w:t>in 2010, however, dramatically expanded the number of academies by inviting all secondary schools to become academies and by providing new facilities funding only to academies.  Currently about two</w:t>
      </w:r>
      <w:r w:rsidR="007108D0">
        <w:rPr>
          <w:rFonts w:cs="Times New Roman"/>
          <w:sz w:val="24"/>
          <w:szCs w:val="24"/>
        </w:rPr>
        <w:t>-</w:t>
      </w:r>
      <w:r w:rsidR="00E87FCC">
        <w:rPr>
          <w:rFonts w:cs="Times New Roman"/>
          <w:sz w:val="24"/>
          <w:szCs w:val="24"/>
        </w:rPr>
        <w:t xml:space="preserve">thirds of all secondary schools </w:t>
      </w:r>
      <w:r w:rsidR="00042B88">
        <w:rPr>
          <w:rFonts w:cs="Times New Roman"/>
          <w:sz w:val="24"/>
          <w:szCs w:val="24"/>
        </w:rPr>
        <w:t xml:space="preserve">in the country </w:t>
      </w:r>
      <w:r w:rsidR="00E87FCC">
        <w:rPr>
          <w:rFonts w:cs="Times New Roman"/>
          <w:sz w:val="24"/>
          <w:szCs w:val="24"/>
        </w:rPr>
        <w:t>are academies</w:t>
      </w:r>
      <w:r w:rsidR="007108D0">
        <w:rPr>
          <w:rFonts w:cs="Times New Roman"/>
          <w:sz w:val="24"/>
          <w:szCs w:val="24"/>
        </w:rPr>
        <w:t>,</w:t>
      </w:r>
      <w:r w:rsidR="00E87FCC">
        <w:rPr>
          <w:rFonts w:cs="Times New Roman"/>
          <w:sz w:val="24"/>
          <w:szCs w:val="24"/>
        </w:rPr>
        <w:t xml:space="preserve"> and the concept is gradually </w:t>
      </w:r>
      <w:r w:rsidR="007108D0">
        <w:rPr>
          <w:rFonts w:cs="Times New Roman"/>
          <w:sz w:val="24"/>
          <w:szCs w:val="24"/>
        </w:rPr>
        <w:t xml:space="preserve">spreading </w:t>
      </w:r>
      <w:r w:rsidR="00E87FCC">
        <w:rPr>
          <w:rFonts w:cs="Times New Roman"/>
          <w:sz w:val="24"/>
          <w:szCs w:val="24"/>
        </w:rPr>
        <w:t xml:space="preserve">down to the primary level. </w:t>
      </w:r>
      <w:r w:rsidR="00A87FDC">
        <w:rPr>
          <w:rFonts w:cs="Times New Roman"/>
          <w:sz w:val="24"/>
          <w:szCs w:val="24"/>
        </w:rPr>
        <w:t xml:space="preserve">Hackney converted several of its failing secondary schools but Tower Hamlets strongly resisted them. In any case, during the time frame we are looking at, academies are not </w:t>
      </w:r>
      <w:r w:rsidR="00042B88">
        <w:rPr>
          <w:rFonts w:cs="Times New Roman"/>
          <w:sz w:val="24"/>
          <w:szCs w:val="24"/>
        </w:rPr>
        <w:t>d</w:t>
      </w:r>
      <w:r w:rsidR="00A87FDC">
        <w:rPr>
          <w:rFonts w:cs="Times New Roman"/>
          <w:sz w:val="24"/>
          <w:szCs w:val="24"/>
        </w:rPr>
        <w:t xml:space="preserve">irectly relevant to our discussion of primary schools in Hackney </w:t>
      </w:r>
      <w:r w:rsidR="00E87FCC">
        <w:rPr>
          <w:rFonts w:cs="Times New Roman"/>
          <w:sz w:val="24"/>
          <w:szCs w:val="24"/>
        </w:rPr>
        <w:t xml:space="preserve"> </w:t>
      </w:r>
    </w:p>
    <w:p w14:paraId="2C393F68" w14:textId="77777777" w:rsidR="00394278" w:rsidRDefault="00394278" w:rsidP="007E4FCC">
      <w:pPr>
        <w:contextualSpacing/>
        <w:rPr>
          <w:rFonts w:eastAsiaTheme="minorHAnsi" w:cs="Times New Roman"/>
          <w:sz w:val="24"/>
          <w:szCs w:val="24"/>
        </w:rPr>
      </w:pPr>
    </w:p>
    <w:p w14:paraId="2B424DD4" w14:textId="79A4986B" w:rsidR="003E26C2" w:rsidRDefault="006D5A3C" w:rsidP="003E26C2">
      <w:pPr>
        <w:contextualSpacing/>
        <w:rPr>
          <w:rFonts w:cs="Times New Roman"/>
          <w:sz w:val="24"/>
          <w:szCs w:val="24"/>
        </w:rPr>
      </w:pPr>
      <w:r w:rsidRPr="00DF5403">
        <w:rPr>
          <w:rFonts w:cs="Times New Roman"/>
          <w:b/>
          <w:i/>
          <w:sz w:val="24"/>
          <w:szCs w:val="24"/>
        </w:rPr>
        <w:lastRenderedPageBreak/>
        <w:t>Su</w:t>
      </w:r>
      <w:r w:rsidR="00E0643C" w:rsidRPr="00DF5403">
        <w:rPr>
          <w:rFonts w:cs="Times New Roman"/>
          <w:b/>
          <w:i/>
          <w:sz w:val="24"/>
          <w:szCs w:val="24"/>
        </w:rPr>
        <w:t>mmary observation</w:t>
      </w:r>
      <w:r w:rsidR="00E0643C" w:rsidRPr="00033F7C">
        <w:rPr>
          <w:rFonts w:cs="Times New Roman"/>
          <w:b/>
          <w:i/>
          <w:sz w:val="24"/>
          <w:szCs w:val="24"/>
        </w:rPr>
        <w:t>:</w:t>
      </w:r>
      <w:r w:rsidR="00E0643C" w:rsidRPr="00033F7C">
        <w:rPr>
          <w:rFonts w:cs="Times New Roman"/>
          <w:i/>
          <w:sz w:val="24"/>
          <w:szCs w:val="24"/>
        </w:rPr>
        <w:t xml:space="preserve"> </w:t>
      </w:r>
      <w:r w:rsidR="00E0643C" w:rsidRPr="00E87FCC">
        <w:rPr>
          <w:rFonts w:cs="Times New Roman"/>
          <w:sz w:val="24"/>
          <w:szCs w:val="24"/>
        </w:rPr>
        <w:t xml:space="preserve">It is likely that </w:t>
      </w:r>
      <w:r w:rsidR="00911CE2">
        <w:rPr>
          <w:rFonts w:cs="Times New Roman"/>
          <w:sz w:val="24"/>
          <w:szCs w:val="24"/>
        </w:rPr>
        <w:t xml:space="preserve">most </w:t>
      </w:r>
      <w:r w:rsidR="00E0643C" w:rsidRPr="00E87FCC">
        <w:rPr>
          <w:rFonts w:cs="Times New Roman"/>
          <w:sz w:val="24"/>
          <w:szCs w:val="24"/>
        </w:rPr>
        <w:t xml:space="preserve">of these essentially “external” forces play some role in the overall London Effect, but closer analysis of what happened in </w:t>
      </w:r>
      <w:r w:rsidR="003E26C2" w:rsidRPr="00E87FCC">
        <w:rPr>
          <w:rFonts w:cs="Times New Roman"/>
          <w:sz w:val="24"/>
          <w:szCs w:val="24"/>
        </w:rPr>
        <w:t xml:space="preserve">our </w:t>
      </w:r>
      <w:r w:rsidR="00E0643C" w:rsidRPr="00E87FCC">
        <w:rPr>
          <w:rFonts w:cs="Times New Roman"/>
          <w:sz w:val="24"/>
          <w:szCs w:val="24"/>
        </w:rPr>
        <w:t xml:space="preserve">two boroughs suggests that </w:t>
      </w:r>
      <w:r w:rsidR="003E26C2" w:rsidRPr="00E87FCC">
        <w:rPr>
          <w:rFonts w:cs="Times New Roman"/>
          <w:sz w:val="24"/>
          <w:szCs w:val="24"/>
        </w:rPr>
        <w:t>they are not the whole story</w:t>
      </w:r>
      <w:r w:rsidR="00E87FCC">
        <w:rPr>
          <w:rFonts w:cs="Times New Roman"/>
          <w:sz w:val="24"/>
          <w:szCs w:val="24"/>
        </w:rPr>
        <w:t xml:space="preserve">, especially for </w:t>
      </w:r>
      <w:r w:rsidR="004270EB">
        <w:rPr>
          <w:rFonts w:cs="Times New Roman"/>
          <w:sz w:val="24"/>
          <w:szCs w:val="24"/>
        </w:rPr>
        <w:t xml:space="preserve">pupil outcomes at the </w:t>
      </w:r>
      <w:r w:rsidR="00E87FCC">
        <w:rPr>
          <w:rFonts w:cs="Times New Roman"/>
          <w:sz w:val="24"/>
          <w:szCs w:val="24"/>
        </w:rPr>
        <w:t>primary level</w:t>
      </w:r>
      <w:r w:rsidR="003E26C2" w:rsidRPr="00E87FCC">
        <w:rPr>
          <w:rFonts w:cs="Times New Roman"/>
          <w:sz w:val="24"/>
          <w:szCs w:val="24"/>
        </w:rPr>
        <w:t>. T</w:t>
      </w:r>
      <w:r w:rsidR="0000562E" w:rsidRPr="00E87FCC">
        <w:rPr>
          <w:rFonts w:cs="Times New Roman"/>
          <w:sz w:val="24"/>
          <w:szCs w:val="24"/>
        </w:rPr>
        <w:t xml:space="preserve">he starting point for this </w:t>
      </w:r>
      <w:r w:rsidR="003E26C2" w:rsidRPr="00E87FCC">
        <w:rPr>
          <w:rFonts w:cs="Times New Roman"/>
          <w:sz w:val="24"/>
          <w:szCs w:val="24"/>
        </w:rPr>
        <w:t xml:space="preserve">conclusion </w:t>
      </w:r>
      <w:r w:rsidR="0000562E" w:rsidRPr="00E87FCC">
        <w:rPr>
          <w:rFonts w:cs="Times New Roman"/>
          <w:sz w:val="24"/>
          <w:szCs w:val="24"/>
        </w:rPr>
        <w:t xml:space="preserve">is </w:t>
      </w:r>
      <w:r w:rsidR="00BF6888">
        <w:rPr>
          <w:rFonts w:cs="Times New Roman"/>
          <w:sz w:val="24"/>
          <w:szCs w:val="24"/>
        </w:rPr>
        <w:t xml:space="preserve">evidence </w:t>
      </w:r>
      <w:r w:rsidR="0000562E" w:rsidRPr="00E87FCC">
        <w:rPr>
          <w:rFonts w:cs="Times New Roman"/>
          <w:sz w:val="24"/>
          <w:szCs w:val="24"/>
        </w:rPr>
        <w:t>that</w:t>
      </w:r>
      <w:r w:rsidR="0075598E">
        <w:rPr>
          <w:rFonts w:cs="Times New Roman"/>
          <w:sz w:val="24"/>
          <w:szCs w:val="24"/>
        </w:rPr>
        <w:t>, as we discuss in the next section.</w:t>
      </w:r>
      <w:r w:rsidR="0000562E" w:rsidRPr="00E87FCC">
        <w:rPr>
          <w:rFonts w:cs="Times New Roman"/>
          <w:sz w:val="24"/>
          <w:szCs w:val="24"/>
        </w:rPr>
        <w:t xml:space="preserve"> the </w:t>
      </w:r>
      <w:r w:rsidR="007562D6" w:rsidRPr="00E87FCC">
        <w:rPr>
          <w:rFonts w:cs="Times New Roman"/>
          <w:sz w:val="24"/>
          <w:szCs w:val="24"/>
        </w:rPr>
        <w:t xml:space="preserve">quality of </w:t>
      </w:r>
      <w:r w:rsidR="00E87FCC">
        <w:rPr>
          <w:rFonts w:cs="Times New Roman"/>
          <w:sz w:val="24"/>
          <w:szCs w:val="24"/>
        </w:rPr>
        <w:t xml:space="preserve">state-maintained primary </w:t>
      </w:r>
      <w:r w:rsidR="0000562E" w:rsidRPr="00E87FCC">
        <w:rPr>
          <w:rFonts w:cs="Times New Roman"/>
          <w:sz w:val="24"/>
          <w:szCs w:val="24"/>
        </w:rPr>
        <w:t xml:space="preserve">schools </w:t>
      </w:r>
      <w:r w:rsidR="003E26C2" w:rsidRPr="00E87FCC">
        <w:rPr>
          <w:rFonts w:cs="Times New Roman"/>
          <w:sz w:val="24"/>
          <w:szCs w:val="24"/>
        </w:rPr>
        <w:t xml:space="preserve">in </w:t>
      </w:r>
      <w:r w:rsidR="00E449A5" w:rsidRPr="00E87FCC">
        <w:rPr>
          <w:rFonts w:cs="Times New Roman"/>
          <w:sz w:val="24"/>
          <w:szCs w:val="24"/>
        </w:rPr>
        <w:t>Hackney and</w:t>
      </w:r>
      <w:r w:rsidR="00E449A5">
        <w:rPr>
          <w:rFonts w:cs="Times New Roman"/>
          <w:sz w:val="24"/>
          <w:szCs w:val="24"/>
        </w:rPr>
        <w:t xml:space="preserve"> Tower Hamlets</w:t>
      </w:r>
      <w:r w:rsidR="0075598E">
        <w:rPr>
          <w:rFonts w:cs="Times New Roman"/>
          <w:sz w:val="24"/>
          <w:szCs w:val="24"/>
        </w:rPr>
        <w:t xml:space="preserve"> as </w:t>
      </w:r>
      <w:r w:rsidR="002F5726">
        <w:rPr>
          <w:rFonts w:cs="Times New Roman"/>
          <w:sz w:val="24"/>
          <w:szCs w:val="24"/>
        </w:rPr>
        <w:t xml:space="preserve">judged </w:t>
      </w:r>
      <w:r w:rsidR="0075598E">
        <w:rPr>
          <w:rFonts w:cs="Times New Roman"/>
          <w:sz w:val="24"/>
          <w:szCs w:val="24"/>
        </w:rPr>
        <w:t>by contemporaneous Ofsted reports</w:t>
      </w:r>
      <w:r w:rsidR="00E449A5">
        <w:rPr>
          <w:rFonts w:cs="Times New Roman"/>
          <w:sz w:val="24"/>
          <w:szCs w:val="24"/>
        </w:rPr>
        <w:t xml:space="preserve"> </w:t>
      </w:r>
      <w:r w:rsidR="00BF6888">
        <w:rPr>
          <w:rFonts w:cs="Times New Roman"/>
          <w:sz w:val="24"/>
          <w:szCs w:val="24"/>
        </w:rPr>
        <w:t>improved significantly</w:t>
      </w:r>
      <w:r w:rsidR="00E449A5">
        <w:rPr>
          <w:rFonts w:cs="Times New Roman"/>
          <w:sz w:val="24"/>
          <w:szCs w:val="24"/>
        </w:rPr>
        <w:t xml:space="preserve">, with the timing of the improvements roughly coincident with the timing of the gains in student achievement. </w:t>
      </w:r>
      <w:r w:rsidR="0000562E">
        <w:rPr>
          <w:rFonts w:cs="Times New Roman"/>
          <w:sz w:val="24"/>
          <w:szCs w:val="24"/>
        </w:rPr>
        <w:t xml:space="preserve"> </w:t>
      </w:r>
      <w:r w:rsidR="003E26C2">
        <w:rPr>
          <w:rFonts w:cs="Times New Roman"/>
          <w:sz w:val="24"/>
          <w:szCs w:val="24"/>
        </w:rPr>
        <w:t xml:space="preserve">While external forces such as gentrification and school funding patterns may well have facilitated that improvement, they </w:t>
      </w:r>
      <w:r w:rsidR="00E449A5">
        <w:rPr>
          <w:rFonts w:cs="Times New Roman"/>
          <w:sz w:val="24"/>
          <w:szCs w:val="24"/>
        </w:rPr>
        <w:t xml:space="preserve">cannot alone explain </w:t>
      </w:r>
      <w:r w:rsidR="00911CE2">
        <w:rPr>
          <w:rFonts w:cs="Times New Roman"/>
          <w:sz w:val="24"/>
          <w:szCs w:val="24"/>
        </w:rPr>
        <w:t xml:space="preserve">its timing.  </w:t>
      </w:r>
      <w:r w:rsidR="008867FC">
        <w:rPr>
          <w:rFonts w:cs="Times New Roman"/>
          <w:sz w:val="24"/>
          <w:szCs w:val="24"/>
        </w:rPr>
        <w:t>In short, in both boroughs the schools themselves were getting better.</w:t>
      </w:r>
      <w:r w:rsidR="004270EB">
        <w:rPr>
          <w:rFonts w:cs="Times New Roman"/>
          <w:sz w:val="24"/>
          <w:szCs w:val="24"/>
        </w:rPr>
        <w:t xml:space="preserve"> </w:t>
      </w:r>
      <w:r w:rsidR="00E449A5">
        <w:rPr>
          <w:rFonts w:cs="Times New Roman"/>
          <w:sz w:val="24"/>
          <w:szCs w:val="24"/>
        </w:rPr>
        <w:t xml:space="preserve"> </w:t>
      </w:r>
    </w:p>
    <w:p w14:paraId="29B077B6" w14:textId="77777777" w:rsidR="007108D0" w:rsidRDefault="007108D0" w:rsidP="003E26C2">
      <w:pPr>
        <w:contextualSpacing/>
        <w:rPr>
          <w:rFonts w:cs="Times New Roman"/>
          <w:b/>
          <w:sz w:val="24"/>
          <w:szCs w:val="24"/>
        </w:rPr>
      </w:pPr>
    </w:p>
    <w:p w14:paraId="71ED55B5" w14:textId="77777777" w:rsidR="003E26C2" w:rsidRDefault="003E26C2" w:rsidP="003E26C2">
      <w:pPr>
        <w:contextualSpacing/>
        <w:rPr>
          <w:rFonts w:cs="Times New Roman"/>
          <w:b/>
          <w:sz w:val="24"/>
          <w:szCs w:val="24"/>
        </w:rPr>
      </w:pPr>
    </w:p>
    <w:p w14:paraId="38FE03BB" w14:textId="77777777" w:rsidR="003E26C2" w:rsidRPr="0093603C" w:rsidRDefault="003E26C2" w:rsidP="003E26C2">
      <w:pPr>
        <w:contextualSpacing/>
        <w:rPr>
          <w:rFonts w:cs="Times New Roman"/>
          <w:b/>
          <w:sz w:val="32"/>
          <w:szCs w:val="32"/>
        </w:rPr>
      </w:pPr>
      <w:r w:rsidRPr="0093603C">
        <w:rPr>
          <w:rFonts w:cs="Times New Roman"/>
          <w:b/>
          <w:sz w:val="32"/>
          <w:szCs w:val="32"/>
        </w:rPr>
        <w:t>Evidence that schools improved</w:t>
      </w:r>
    </w:p>
    <w:p w14:paraId="03E1E3E5" w14:textId="77777777" w:rsidR="003E26C2" w:rsidRDefault="003E26C2" w:rsidP="00E0643C">
      <w:pPr>
        <w:contextualSpacing/>
        <w:rPr>
          <w:rFonts w:cs="Times New Roman"/>
          <w:sz w:val="24"/>
          <w:szCs w:val="24"/>
        </w:rPr>
      </w:pPr>
    </w:p>
    <w:p w14:paraId="0BF07C32" w14:textId="40DAE169" w:rsidR="00D535B4" w:rsidRDefault="00481E40" w:rsidP="00300980">
      <w:r>
        <w:rPr>
          <w:rFonts w:cs="Times New Roman"/>
          <w:sz w:val="24"/>
          <w:szCs w:val="24"/>
        </w:rPr>
        <w:t xml:space="preserve">Defining and measuring </w:t>
      </w:r>
      <w:r w:rsidR="00E449A5">
        <w:rPr>
          <w:rFonts w:cs="Times New Roman"/>
          <w:sz w:val="24"/>
          <w:szCs w:val="24"/>
        </w:rPr>
        <w:t>school quality is always a challenge</w:t>
      </w:r>
      <w:r>
        <w:rPr>
          <w:rFonts w:cs="Times New Roman"/>
          <w:sz w:val="24"/>
          <w:szCs w:val="24"/>
        </w:rPr>
        <w:t xml:space="preserve"> (see dis</w:t>
      </w:r>
      <w:r w:rsidR="008867FC">
        <w:rPr>
          <w:rFonts w:cs="Times New Roman"/>
          <w:sz w:val="24"/>
          <w:szCs w:val="24"/>
        </w:rPr>
        <w:t xml:space="preserve">cussion in Ladd and Loeb, </w:t>
      </w:r>
      <w:r w:rsidR="00B07025">
        <w:rPr>
          <w:rFonts w:cs="Times New Roman"/>
          <w:sz w:val="24"/>
          <w:szCs w:val="24"/>
        </w:rPr>
        <w:t>2013)</w:t>
      </w:r>
      <w:r w:rsidR="008867FC">
        <w:rPr>
          <w:rFonts w:cs="Times New Roman"/>
          <w:sz w:val="24"/>
          <w:szCs w:val="24"/>
        </w:rPr>
        <w:t>. To demonstrate w</w:t>
      </w:r>
      <w:r>
        <w:t xml:space="preserve">hether schools have improved over time we need a measure of school quality that is available for a significant number of schools over </w:t>
      </w:r>
      <w:r w:rsidR="008867FC">
        <w:t xml:space="preserve">the relevant period. </w:t>
      </w:r>
      <w:r>
        <w:t>T</w:t>
      </w:r>
      <w:r w:rsidR="007562D6">
        <w:t>he measure we use is the school-</w:t>
      </w:r>
      <w:r>
        <w:t xml:space="preserve">specific ratings provided by </w:t>
      </w:r>
      <w:r w:rsidR="000B38F1">
        <w:t>the Office for Standards in Education,</w:t>
      </w:r>
      <w:r w:rsidR="00A87FDC">
        <w:t xml:space="preserve"> Children’s Services and Skills (Ofsted).  Starting in the early </w:t>
      </w:r>
      <w:r w:rsidR="00D535B4">
        <w:t>to mid</w:t>
      </w:r>
      <w:r w:rsidR="002C0C70">
        <w:t>-</w:t>
      </w:r>
      <w:r w:rsidR="00A87FDC">
        <w:t xml:space="preserve">1990s, </w:t>
      </w:r>
      <w:r w:rsidR="00D535B4">
        <w:t xml:space="preserve">the government had introduced national tests </w:t>
      </w:r>
      <w:r w:rsidR="00741CD9">
        <w:t>along with league tables showing results by school.  lmportantly,</w:t>
      </w:r>
      <w:r w:rsidR="001E40FE">
        <w:t xml:space="preserve"> </w:t>
      </w:r>
      <w:r w:rsidR="00741CD9">
        <w:t xml:space="preserve">however, at that time, it also introduced publicly </w:t>
      </w:r>
      <w:r w:rsidR="00D535B4">
        <w:t xml:space="preserve">available school- specific inspection reports as tools for holding increasingly </w:t>
      </w:r>
      <w:r w:rsidR="00741CD9">
        <w:t xml:space="preserve">self-managing </w:t>
      </w:r>
      <w:r w:rsidR="00D535B4">
        <w:t xml:space="preserve">schools accountable </w:t>
      </w:r>
      <w:r w:rsidR="00741CD9">
        <w:t>not only for the performance of their students but also for their internal school policies and practices.  T</w:t>
      </w:r>
      <w:r w:rsidR="00D535B4">
        <w:t xml:space="preserve">he inspections </w:t>
      </w:r>
      <w:r w:rsidR="00741CD9">
        <w:t xml:space="preserve">take place in </w:t>
      </w:r>
      <w:r w:rsidR="00D535B4">
        <w:t>all state funded schools, regardless of whether they are community schools (that is fully under the control of the local authority) or schools for which the property is owned by a trust, most commonly a church.  All the scho</w:t>
      </w:r>
      <w:r w:rsidR="00741CD9">
        <w:t>o</w:t>
      </w:r>
      <w:r w:rsidR="00D535B4">
        <w:t xml:space="preserve">ls </w:t>
      </w:r>
      <w:r w:rsidR="00741CD9">
        <w:t xml:space="preserve">are governed by school governing boards. </w:t>
      </w:r>
      <w:r w:rsidR="00D535B4">
        <w:t xml:space="preserve"> </w:t>
      </w:r>
    </w:p>
    <w:p w14:paraId="23D93FE4" w14:textId="1725CE27" w:rsidR="001936C4" w:rsidRDefault="00D535B4" w:rsidP="00300980">
      <w:r>
        <w:t xml:space="preserve"> </w:t>
      </w:r>
      <w:r w:rsidR="007562D6">
        <w:t>Starting in the mid-</w:t>
      </w:r>
      <w:r w:rsidR="000B38F1">
        <w:t xml:space="preserve">1990s, </w:t>
      </w:r>
      <w:r w:rsidR="001936C4">
        <w:t>teams of p</w:t>
      </w:r>
      <w:r w:rsidR="000B38F1">
        <w:t xml:space="preserve">rofessional staff </w:t>
      </w:r>
      <w:r w:rsidR="001936C4">
        <w:t xml:space="preserve">from </w:t>
      </w:r>
      <w:r w:rsidR="000B38F1">
        <w:t xml:space="preserve">OFSTED have inspected every English </w:t>
      </w:r>
      <w:r w:rsidR="00A87FDC">
        <w:t xml:space="preserve">state-funded </w:t>
      </w:r>
      <w:r w:rsidR="000B38F1">
        <w:t>school on a periodic base</w:t>
      </w:r>
      <w:r w:rsidR="00481E40">
        <w:t xml:space="preserve"> </w:t>
      </w:r>
      <w:r w:rsidR="007562D6">
        <w:t>– usually about every 3</w:t>
      </w:r>
      <w:r w:rsidR="002F5726">
        <w:t xml:space="preserve">-4 </w:t>
      </w:r>
      <w:r w:rsidR="007562D6">
        <w:t>years</w:t>
      </w:r>
      <w:r w:rsidR="00222975">
        <w:t xml:space="preserve"> but </w:t>
      </w:r>
      <w:r w:rsidR="007562D6">
        <w:t xml:space="preserve">with wide variations in the timing. </w:t>
      </w:r>
      <w:r w:rsidR="000B38F1">
        <w:t xml:space="preserve"> After each inspection, O</w:t>
      </w:r>
      <w:r w:rsidR="004270EB">
        <w:t xml:space="preserve">fsted </w:t>
      </w:r>
      <w:r w:rsidR="00222975">
        <w:t>publishes</w:t>
      </w:r>
      <w:r w:rsidR="001936C4">
        <w:t xml:space="preserve"> </w:t>
      </w:r>
      <w:r w:rsidR="000B38F1">
        <w:t xml:space="preserve">a </w:t>
      </w:r>
      <w:r w:rsidR="001E40FE">
        <w:t>publicly</w:t>
      </w:r>
      <w:r w:rsidR="000B38F1">
        <w:t xml:space="preserve"> available report with commentary on various dimensions of school quality, recommendations for areas needing improvement, and an overall rating of how good the school is. The ratings are 1 for outstanding, 2 for good, 3 for satisfactory and 4 for inadequate. </w:t>
      </w:r>
      <w:r w:rsidR="00050646">
        <w:t>Although these ratings are based in part on how well the students are doing relative to comparable students elsewhere, the b</w:t>
      </w:r>
      <w:r w:rsidR="00222975">
        <w:t xml:space="preserve">ulk of the inspectors’ comments and ratings focus on </w:t>
      </w:r>
      <w:r w:rsidR="000621C3">
        <w:t>a range of other considerations</w:t>
      </w:r>
      <w:r w:rsidR="00AB6C10">
        <w:t>,</w:t>
      </w:r>
      <w:r w:rsidR="000621C3">
        <w:t xml:space="preserve"> including the quality of school management and teaching, and the extent to which the school is addressing the needs of its disadvantaged students.</w:t>
      </w:r>
      <w:r w:rsidR="00AD7784">
        <w:rPr>
          <w:rStyle w:val="FootnoteReference"/>
        </w:rPr>
        <w:footnoteReference w:id="14"/>
      </w:r>
      <w:r w:rsidR="000621C3">
        <w:t xml:space="preserve"> T</w:t>
      </w:r>
      <w:r w:rsidR="000B38F1">
        <w:t xml:space="preserve">his is not the place to evaluate the </w:t>
      </w:r>
      <w:r w:rsidR="000B38F1">
        <w:lastRenderedPageBreak/>
        <w:t>O</w:t>
      </w:r>
      <w:r w:rsidR="004270EB">
        <w:t xml:space="preserve">fsted </w:t>
      </w:r>
      <w:r w:rsidR="000B38F1">
        <w:t>process as a whole</w:t>
      </w:r>
      <w:r w:rsidR="00222975">
        <w:t xml:space="preserve">, which has </w:t>
      </w:r>
      <w:r w:rsidR="000B38F1">
        <w:t>antagonized many schools and educators</w:t>
      </w:r>
      <w:r>
        <w:t>. It</w:t>
      </w:r>
      <w:r w:rsidR="0071759D">
        <w:t>s</w:t>
      </w:r>
      <w:r>
        <w:t xml:space="preserve"> </w:t>
      </w:r>
      <w:r w:rsidR="00222975">
        <w:t xml:space="preserve">observations </w:t>
      </w:r>
      <w:r w:rsidR="000B38F1">
        <w:t>can be harsh and punitive</w:t>
      </w:r>
      <w:r w:rsidR="001936C4">
        <w:t xml:space="preserve"> </w:t>
      </w:r>
      <w:r>
        <w:t xml:space="preserve">and an </w:t>
      </w:r>
      <w:r w:rsidR="000B38F1">
        <w:t>inadequate rating from O</w:t>
      </w:r>
      <w:r w:rsidR="00E22BB0">
        <w:t xml:space="preserve">fsted </w:t>
      </w:r>
      <w:r w:rsidR="000B38F1">
        <w:t xml:space="preserve">can lead to special measures </w:t>
      </w:r>
      <w:r w:rsidR="001936C4">
        <w:t>or to government takeover.  Nonetheless, the O</w:t>
      </w:r>
      <w:r w:rsidR="00E22BB0">
        <w:t>fsted</w:t>
      </w:r>
      <w:r w:rsidR="001936C4">
        <w:t xml:space="preserve"> ratings and the accompanying discussion provide rich data for shedding light on the quality of schools in Hackney and Tower Hamlets and how they have </w:t>
      </w:r>
      <w:r w:rsidR="00AB6C10">
        <w:t>changed</w:t>
      </w:r>
      <w:r w:rsidR="001936C4">
        <w:t xml:space="preserve"> over time.  </w:t>
      </w:r>
    </w:p>
    <w:p w14:paraId="6074CA5E" w14:textId="20625A4E" w:rsidR="00260F90" w:rsidRDefault="00C71280" w:rsidP="00300980">
      <w:r>
        <w:t>T</w:t>
      </w:r>
      <w:r w:rsidR="001936C4">
        <w:t>he O</w:t>
      </w:r>
      <w:r>
        <w:t xml:space="preserve">fsted </w:t>
      </w:r>
      <w:r w:rsidR="001936C4">
        <w:t>reports to which we have access go back only to 2000 (with a few for 1999).   That is generally not a problem for Hackney</w:t>
      </w:r>
      <w:r w:rsidR="00AB6C10">
        <w:t>,</w:t>
      </w:r>
      <w:r w:rsidR="001936C4">
        <w:t xml:space="preserve"> given that</w:t>
      </w:r>
      <w:r w:rsidR="00260F90">
        <w:t xml:space="preserve"> most of the school improvement occurred after 2000.  It is somewhat more problematic for Tower Hamlets</w:t>
      </w:r>
      <w:r w:rsidR="00234DFB">
        <w:t xml:space="preserve">, however, </w:t>
      </w:r>
      <w:r w:rsidR="00260F90">
        <w:t>because many schools were already well f</w:t>
      </w:r>
      <w:r w:rsidR="00AB6C10">
        <w:t xml:space="preserve">unctioning by the early 2000s. </w:t>
      </w:r>
      <w:r w:rsidR="00477286">
        <w:t>As a result</w:t>
      </w:r>
      <w:r w:rsidR="001E40FE">
        <w:t>,</w:t>
      </w:r>
      <w:r w:rsidR="00477286">
        <w:t xml:space="preserve"> we have had to </w:t>
      </w:r>
      <w:r w:rsidR="00260F90">
        <w:t>infer a school’s quality prior to 2000 from post</w:t>
      </w:r>
      <w:r w:rsidR="00AB6C10">
        <w:t>-</w:t>
      </w:r>
      <w:r w:rsidR="00260F90">
        <w:t xml:space="preserve">2000 inspection reports that refer to earlier reports.  </w:t>
      </w:r>
      <w:r w:rsidR="000621C3">
        <w:t xml:space="preserve">Another </w:t>
      </w:r>
      <w:r w:rsidR="00260F90">
        <w:t>limitation of the O</w:t>
      </w:r>
      <w:r w:rsidR="004270EB">
        <w:t xml:space="preserve">fsted </w:t>
      </w:r>
      <w:r w:rsidR="00234DFB">
        <w:t>reports</w:t>
      </w:r>
      <w:r w:rsidR="00260F90">
        <w:t xml:space="preserve"> is that for the years prior to about 2006 the reports typically do not include </w:t>
      </w:r>
      <w:r w:rsidR="00234DFB">
        <w:t xml:space="preserve">summary </w:t>
      </w:r>
      <w:r w:rsidR="00260F90">
        <w:t>evalu</w:t>
      </w:r>
      <w:r w:rsidR="000621C3">
        <w:t>a</w:t>
      </w:r>
      <w:r w:rsidR="00234DFB">
        <w:t>tion numbers (</w:t>
      </w:r>
      <w:r w:rsidR="00260F90">
        <w:t xml:space="preserve">1,2,3, or 4) as they do for the more recent years.  Nonetheless, we are typically able to classify a school into one of the four categories by </w:t>
      </w:r>
      <w:r w:rsidR="00BF5FF9">
        <w:t xml:space="preserve">the </w:t>
      </w:r>
      <w:r w:rsidR="00F73815">
        <w:t xml:space="preserve">report’s discussion </w:t>
      </w:r>
      <w:r w:rsidR="00260F90">
        <w:t>in the section labeled “How good is the school?</w:t>
      </w:r>
      <w:r w:rsidR="00234DFB">
        <w:t>”</w:t>
      </w:r>
      <w:r w:rsidR="006418B0">
        <w:t xml:space="preserve"> </w:t>
      </w:r>
      <w:r w:rsidR="00234DFB">
        <w:t xml:space="preserve"> </w:t>
      </w:r>
      <w:r w:rsidR="00260F90">
        <w:t>For example, i</w:t>
      </w:r>
      <w:r w:rsidR="00AB6C10">
        <w:t>f</w:t>
      </w:r>
      <w:r w:rsidR="00260F90">
        <w:t xml:space="preserve"> </w:t>
      </w:r>
      <w:r w:rsidR="00477286">
        <w:t xml:space="preserve">a report </w:t>
      </w:r>
      <w:r w:rsidR="00F73815">
        <w:t xml:space="preserve">uses the word </w:t>
      </w:r>
      <w:r w:rsidR="00260F90">
        <w:t>“good”</w:t>
      </w:r>
      <w:r w:rsidR="00F73815">
        <w:t xml:space="preserve"> to describe the school</w:t>
      </w:r>
      <w:r w:rsidR="00260F90">
        <w:t>, we classify it a</w:t>
      </w:r>
      <w:r w:rsidR="004270EB">
        <w:t>s</w:t>
      </w:r>
      <w:r w:rsidR="00260F90">
        <w:t xml:space="preserve"> a 2</w:t>
      </w:r>
      <w:r w:rsidR="00234DFB">
        <w:t>;</w:t>
      </w:r>
      <w:r w:rsidR="00AB6C10">
        <w:t xml:space="preserve"> if </w:t>
      </w:r>
      <w:r w:rsidR="00260F90">
        <w:t xml:space="preserve">“satisfactory,” we classify it as a 3. </w:t>
      </w:r>
      <w:r w:rsidR="000621C3">
        <w:t xml:space="preserve"> Although the O</w:t>
      </w:r>
      <w:r w:rsidR="004270EB">
        <w:t xml:space="preserve">fsted </w:t>
      </w:r>
      <w:r w:rsidR="000621C3">
        <w:t>inspections themselves have undoubtedly changed somewhat over time, both in</w:t>
      </w:r>
      <w:r w:rsidR="00477286">
        <w:t xml:space="preserve"> terms of </w:t>
      </w:r>
      <w:r w:rsidR="004270EB">
        <w:t xml:space="preserve">how much time </w:t>
      </w:r>
      <w:r w:rsidR="00477286">
        <w:t xml:space="preserve">the inspectors spend in a </w:t>
      </w:r>
      <w:r w:rsidR="000621C3">
        <w:t xml:space="preserve">school and how the inspection proceeds (e.g. how far in advance is the visit announced), the rankings are useful for our purposes to the extent that they highlight differences between the two boroughs in the timing of improvements in school quality.  </w:t>
      </w:r>
    </w:p>
    <w:p w14:paraId="22B0F5E3" w14:textId="6B6C1F61" w:rsidR="004D3445" w:rsidRDefault="00260F90" w:rsidP="004D3445">
      <w:r>
        <w:t xml:space="preserve">Table </w:t>
      </w:r>
      <w:r w:rsidR="00741CD9">
        <w:t>4</w:t>
      </w:r>
      <w:r>
        <w:t xml:space="preserve"> provides our findings over time for both boroughs. </w:t>
      </w:r>
      <w:r w:rsidR="00235B48">
        <w:t xml:space="preserve"> In the first column, we report the number of school inspections by </w:t>
      </w:r>
      <w:r w:rsidR="004270EB">
        <w:t xml:space="preserve">specified </w:t>
      </w:r>
      <w:r w:rsidR="00235B48">
        <w:t>time period.  Recall that not all schools are inspected every year</w:t>
      </w:r>
      <w:r w:rsidR="00050646">
        <w:t xml:space="preserve"> or in every sub</w:t>
      </w:r>
      <w:r w:rsidR="00AB6C10">
        <w:t>-</w:t>
      </w:r>
      <w:r w:rsidR="00050646">
        <w:t>period</w:t>
      </w:r>
      <w:r w:rsidR="00AB6C10">
        <w:t xml:space="preserve"> that</w:t>
      </w:r>
      <w:r w:rsidR="00050646">
        <w:t xml:space="preserve"> we have </w:t>
      </w:r>
      <w:r w:rsidR="005B7286">
        <w:t xml:space="preserve">highlighted </w:t>
      </w:r>
      <w:r w:rsidR="00050646">
        <w:t>in the table.</w:t>
      </w:r>
      <w:r w:rsidR="00AB6C10">
        <w:t xml:space="preserve"> </w:t>
      </w:r>
      <w:r w:rsidR="00235B48">
        <w:t>In addition, within a single period such as 2007-2010 a school may be inspected more than once</w:t>
      </w:r>
      <w:r w:rsidR="00234DFB">
        <w:t>.</w:t>
      </w:r>
      <w:r w:rsidR="00235B48">
        <w:rPr>
          <w:rStyle w:val="FootnoteReference"/>
        </w:rPr>
        <w:footnoteReference w:id="15"/>
      </w:r>
      <w:r w:rsidR="00235B48">
        <w:t xml:space="preserve">  Hence the number of inspections does not correspond</w:t>
      </w:r>
      <w:r w:rsidR="00234DFB">
        <w:t xml:space="preserve"> precisely</w:t>
      </w:r>
      <w:r w:rsidR="00235B48">
        <w:t xml:space="preserve"> to the number of schools</w:t>
      </w:r>
      <w:r w:rsidR="00645A4A">
        <w:t xml:space="preserve"> inspected.</w:t>
      </w:r>
      <w:r w:rsidR="00235B48">
        <w:t xml:space="preserve">  The total number of schools appears in the third column</w:t>
      </w:r>
      <w:r w:rsidR="00234DFB">
        <w:t xml:space="preserve"> in which </w:t>
      </w:r>
      <w:r w:rsidR="00235B48">
        <w:t xml:space="preserve">we refer to the most recent inspection as of 2010 or 2014, regardless of </w:t>
      </w:r>
      <w:r w:rsidR="00050646">
        <w:t xml:space="preserve">the year in which it </w:t>
      </w:r>
      <w:r w:rsidR="00235B48">
        <w:t xml:space="preserve">occurred. </w:t>
      </w:r>
    </w:p>
    <w:p w14:paraId="2DFCC5D9" w14:textId="77777777" w:rsidR="004D3445" w:rsidRDefault="004D3445">
      <w:pPr>
        <w:spacing w:after="160" w:line="259" w:lineRule="auto"/>
      </w:pPr>
      <w:r>
        <w:br w:type="page"/>
      </w:r>
    </w:p>
    <w:p w14:paraId="3CD250A2" w14:textId="77777777" w:rsidR="00482D4E" w:rsidRDefault="00482D4E" w:rsidP="004D3445"/>
    <w:p w14:paraId="2359BBE9" w14:textId="20438977" w:rsidR="00C32380" w:rsidRDefault="006418B0" w:rsidP="00300980">
      <w:pPr>
        <w:rPr>
          <w:b/>
        </w:rPr>
      </w:pPr>
      <w:r w:rsidRPr="006418B0">
        <w:rPr>
          <w:b/>
        </w:rPr>
        <w:t xml:space="preserve">Table </w:t>
      </w:r>
      <w:r w:rsidR="00D535B4">
        <w:rPr>
          <w:b/>
        </w:rPr>
        <w:t>4</w:t>
      </w:r>
      <w:r w:rsidRPr="006418B0">
        <w:rPr>
          <w:b/>
        </w:rPr>
        <w:t xml:space="preserve">. School quality based on inspection reports in Hackney and Tower Hamlets </w:t>
      </w:r>
    </w:p>
    <w:tbl>
      <w:tblPr>
        <w:tblW w:w="8272" w:type="dxa"/>
        <w:tblInd w:w="108" w:type="dxa"/>
        <w:tblLook w:val="04A0" w:firstRow="1" w:lastRow="0" w:firstColumn="1" w:lastColumn="0" w:noHBand="0" w:noVBand="1"/>
      </w:tblPr>
      <w:tblGrid>
        <w:gridCol w:w="1813"/>
        <w:gridCol w:w="222"/>
        <w:gridCol w:w="1233"/>
        <w:gridCol w:w="1140"/>
        <w:gridCol w:w="1059"/>
        <w:gridCol w:w="1080"/>
        <w:gridCol w:w="1059"/>
        <w:gridCol w:w="1043"/>
      </w:tblGrid>
      <w:tr w:rsidR="00C32380" w:rsidRPr="00C32380" w14:paraId="78B8F886" w14:textId="77777777" w:rsidTr="00E66BEA">
        <w:trPr>
          <w:trHeight w:val="290"/>
        </w:trPr>
        <w:tc>
          <w:tcPr>
            <w:tcW w:w="1920" w:type="dxa"/>
            <w:gridSpan w:val="2"/>
            <w:tcBorders>
              <w:top w:val="nil"/>
              <w:left w:val="nil"/>
              <w:bottom w:val="nil"/>
              <w:right w:val="nil"/>
            </w:tcBorders>
            <w:shd w:val="clear" w:color="auto" w:fill="auto"/>
            <w:noWrap/>
            <w:vAlign w:val="bottom"/>
            <w:hideMark/>
          </w:tcPr>
          <w:p w14:paraId="3BEE1D55"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HACKNEY </w:t>
            </w:r>
          </w:p>
        </w:tc>
        <w:tc>
          <w:tcPr>
            <w:tcW w:w="1220" w:type="dxa"/>
            <w:tcBorders>
              <w:top w:val="nil"/>
              <w:left w:val="nil"/>
              <w:bottom w:val="nil"/>
              <w:right w:val="nil"/>
            </w:tcBorders>
            <w:shd w:val="clear" w:color="auto" w:fill="auto"/>
            <w:noWrap/>
            <w:vAlign w:val="bottom"/>
            <w:hideMark/>
          </w:tcPr>
          <w:p w14:paraId="38E811DB" w14:textId="77777777" w:rsidR="00C32380" w:rsidRPr="00C32380" w:rsidRDefault="00C32380" w:rsidP="00C3238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14:paraId="3A01DF71"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E5C691"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DFFA4AF"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952" w:type="dxa"/>
            <w:gridSpan w:val="2"/>
            <w:tcBorders>
              <w:top w:val="nil"/>
              <w:left w:val="nil"/>
              <w:bottom w:val="nil"/>
              <w:right w:val="nil"/>
            </w:tcBorders>
            <w:shd w:val="clear" w:color="auto" w:fill="auto"/>
            <w:noWrap/>
            <w:vAlign w:val="bottom"/>
          </w:tcPr>
          <w:p w14:paraId="435D98BA" w14:textId="688C088A" w:rsidR="00C32380" w:rsidRPr="00C32380" w:rsidRDefault="00C32380" w:rsidP="00C32380">
            <w:pPr>
              <w:spacing w:after="0" w:line="240" w:lineRule="auto"/>
              <w:rPr>
                <w:rFonts w:ascii="Calibri" w:eastAsia="Times New Roman" w:hAnsi="Calibri" w:cs="Times New Roman"/>
                <w:color w:val="000000"/>
              </w:rPr>
            </w:pPr>
          </w:p>
        </w:tc>
      </w:tr>
      <w:tr w:rsidR="00C32380" w:rsidRPr="00C32380" w14:paraId="02F3A825" w14:textId="77777777" w:rsidTr="00C32380">
        <w:trPr>
          <w:trHeight w:val="290"/>
        </w:trPr>
        <w:tc>
          <w:tcPr>
            <w:tcW w:w="1813" w:type="dxa"/>
            <w:tcBorders>
              <w:top w:val="nil"/>
              <w:left w:val="nil"/>
              <w:bottom w:val="nil"/>
              <w:right w:val="nil"/>
            </w:tcBorders>
            <w:shd w:val="clear" w:color="auto" w:fill="auto"/>
            <w:noWrap/>
            <w:vAlign w:val="bottom"/>
            <w:hideMark/>
          </w:tcPr>
          <w:p w14:paraId="6B232E87" w14:textId="77777777" w:rsidR="00C32380" w:rsidRPr="00C32380" w:rsidRDefault="00C32380" w:rsidP="00C3238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FBCE901"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4D439DDC"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Inspections </w:t>
            </w:r>
          </w:p>
        </w:tc>
        <w:tc>
          <w:tcPr>
            <w:tcW w:w="1140" w:type="dxa"/>
            <w:tcBorders>
              <w:top w:val="nil"/>
              <w:left w:val="nil"/>
              <w:bottom w:val="nil"/>
              <w:right w:val="nil"/>
            </w:tcBorders>
            <w:shd w:val="clear" w:color="auto" w:fill="auto"/>
            <w:noWrap/>
            <w:vAlign w:val="bottom"/>
            <w:hideMark/>
          </w:tcPr>
          <w:p w14:paraId="360BDA3D"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Schools </w:t>
            </w:r>
          </w:p>
        </w:tc>
        <w:tc>
          <w:tcPr>
            <w:tcW w:w="2139" w:type="dxa"/>
            <w:gridSpan w:val="2"/>
            <w:tcBorders>
              <w:top w:val="nil"/>
              <w:left w:val="nil"/>
              <w:bottom w:val="nil"/>
              <w:right w:val="nil"/>
            </w:tcBorders>
            <w:shd w:val="clear" w:color="auto" w:fill="auto"/>
            <w:noWrap/>
            <w:vAlign w:val="bottom"/>
            <w:hideMark/>
          </w:tcPr>
          <w:p w14:paraId="7FC01D6A"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Rating below good </w:t>
            </w:r>
          </w:p>
        </w:tc>
        <w:tc>
          <w:tcPr>
            <w:tcW w:w="2102" w:type="dxa"/>
            <w:gridSpan w:val="2"/>
            <w:tcBorders>
              <w:top w:val="nil"/>
              <w:left w:val="nil"/>
              <w:bottom w:val="nil"/>
              <w:right w:val="nil"/>
            </w:tcBorders>
            <w:shd w:val="clear" w:color="auto" w:fill="auto"/>
            <w:noWrap/>
            <w:vAlign w:val="bottom"/>
            <w:hideMark/>
          </w:tcPr>
          <w:p w14:paraId="083561C0"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Rating of outstanding</w:t>
            </w:r>
          </w:p>
        </w:tc>
      </w:tr>
      <w:tr w:rsidR="00C32380" w:rsidRPr="00C32380" w14:paraId="01C9E4E9" w14:textId="77777777" w:rsidTr="00C32380">
        <w:trPr>
          <w:trHeight w:val="290"/>
        </w:trPr>
        <w:tc>
          <w:tcPr>
            <w:tcW w:w="1813" w:type="dxa"/>
            <w:tcBorders>
              <w:top w:val="nil"/>
              <w:left w:val="nil"/>
              <w:bottom w:val="nil"/>
              <w:right w:val="nil"/>
            </w:tcBorders>
            <w:shd w:val="clear" w:color="auto" w:fill="auto"/>
            <w:noWrap/>
            <w:vAlign w:val="bottom"/>
            <w:hideMark/>
          </w:tcPr>
          <w:p w14:paraId="5886390E" w14:textId="77777777" w:rsidR="00C32380" w:rsidRPr="00C32380" w:rsidRDefault="00C32380" w:rsidP="00C32380">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3047AEF9"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49104B9E"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(number) </w:t>
            </w:r>
          </w:p>
        </w:tc>
        <w:tc>
          <w:tcPr>
            <w:tcW w:w="1140" w:type="dxa"/>
            <w:tcBorders>
              <w:top w:val="nil"/>
              <w:left w:val="nil"/>
              <w:bottom w:val="nil"/>
              <w:right w:val="nil"/>
            </w:tcBorders>
            <w:shd w:val="clear" w:color="auto" w:fill="auto"/>
            <w:noWrap/>
            <w:vAlign w:val="bottom"/>
            <w:hideMark/>
          </w:tcPr>
          <w:p w14:paraId="1131B8FA"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(number) </w:t>
            </w:r>
          </w:p>
        </w:tc>
        <w:tc>
          <w:tcPr>
            <w:tcW w:w="1059" w:type="dxa"/>
            <w:tcBorders>
              <w:top w:val="nil"/>
              <w:left w:val="nil"/>
              <w:bottom w:val="nil"/>
              <w:right w:val="nil"/>
            </w:tcBorders>
            <w:shd w:val="clear" w:color="auto" w:fill="auto"/>
            <w:noWrap/>
            <w:vAlign w:val="bottom"/>
            <w:hideMark/>
          </w:tcPr>
          <w:p w14:paraId="3B921AB9"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(number) </w:t>
            </w:r>
          </w:p>
        </w:tc>
        <w:tc>
          <w:tcPr>
            <w:tcW w:w="1080" w:type="dxa"/>
            <w:tcBorders>
              <w:top w:val="nil"/>
              <w:left w:val="nil"/>
              <w:bottom w:val="nil"/>
              <w:right w:val="nil"/>
            </w:tcBorders>
            <w:shd w:val="clear" w:color="auto" w:fill="auto"/>
            <w:noWrap/>
            <w:vAlign w:val="bottom"/>
            <w:hideMark/>
          </w:tcPr>
          <w:p w14:paraId="6F18051E"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(percent)</w:t>
            </w:r>
          </w:p>
        </w:tc>
        <w:tc>
          <w:tcPr>
            <w:tcW w:w="1059" w:type="dxa"/>
            <w:tcBorders>
              <w:top w:val="nil"/>
              <w:left w:val="nil"/>
              <w:bottom w:val="nil"/>
              <w:right w:val="nil"/>
            </w:tcBorders>
            <w:shd w:val="clear" w:color="auto" w:fill="auto"/>
            <w:noWrap/>
            <w:vAlign w:val="bottom"/>
            <w:hideMark/>
          </w:tcPr>
          <w:p w14:paraId="07894EE8"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(number) </w:t>
            </w:r>
          </w:p>
        </w:tc>
        <w:tc>
          <w:tcPr>
            <w:tcW w:w="1043" w:type="dxa"/>
            <w:tcBorders>
              <w:top w:val="nil"/>
              <w:left w:val="nil"/>
              <w:bottom w:val="nil"/>
              <w:right w:val="nil"/>
            </w:tcBorders>
            <w:shd w:val="clear" w:color="auto" w:fill="auto"/>
            <w:noWrap/>
            <w:vAlign w:val="bottom"/>
            <w:hideMark/>
          </w:tcPr>
          <w:p w14:paraId="39A4C943"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(percent)</w:t>
            </w:r>
          </w:p>
        </w:tc>
      </w:tr>
      <w:tr w:rsidR="00C32380" w:rsidRPr="00C32380" w14:paraId="73B64C27"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395F82C1"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2000-2002</w:t>
            </w:r>
          </w:p>
        </w:tc>
        <w:tc>
          <w:tcPr>
            <w:tcW w:w="1233" w:type="dxa"/>
            <w:tcBorders>
              <w:top w:val="nil"/>
              <w:left w:val="nil"/>
              <w:bottom w:val="nil"/>
              <w:right w:val="nil"/>
            </w:tcBorders>
            <w:shd w:val="clear" w:color="auto" w:fill="auto"/>
            <w:noWrap/>
            <w:vAlign w:val="bottom"/>
            <w:hideMark/>
          </w:tcPr>
          <w:p w14:paraId="2028043A"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23</w:t>
            </w:r>
          </w:p>
        </w:tc>
        <w:tc>
          <w:tcPr>
            <w:tcW w:w="1140" w:type="dxa"/>
            <w:tcBorders>
              <w:top w:val="nil"/>
              <w:left w:val="nil"/>
              <w:bottom w:val="nil"/>
              <w:right w:val="nil"/>
            </w:tcBorders>
            <w:shd w:val="clear" w:color="auto" w:fill="auto"/>
            <w:noWrap/>
            <w:vAlign w:val="bottom"/>
            <w:hideMark/>
          </w:tcPr>
          <w:p w14:paraId="3A36F4F2"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695FB384"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15</w:t>
            </w:r>
          </w:p>
        </w:tc>
        <w:tc>
          <w:tcPr>
            <w:tcW w:w="1080" w:type="dxa"/>
            <w:tcBorders>
              <w:top w:val="nil"/>
              <w:left w:val="nil"/>
              <w:bottom w:val="nil"/>
              <w:right w:val="nil"/>
            </w:tcBorders>
            <w:shd w:val="clear" w:color="auto" w:fill="auto"/>
            <w:noWrap/>
            <w:vAlign w:val="bottom"/>
            <w:hideMark/>
          </w:tcPr>
          <w:p w14:paraId="1776B35C"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0.65</w:t>
            </w:r>
          </w:p>
        </w:tc>
        <w:tc>
          <w:tcPr>
            <w:tcW w:w="1059" w:type="dxa"/>
            <w:tcBorders>
              <w:top w:val="nil"/>
              <w:left w:val="nil"/>
              <w:bottom w:val="nil"/>
              <w:right w:val="nil"/>
            </w:tcBorders>
            <w:shd w:val="clear" w:color="auto" w:fill="auto"/>
            <w:noWrap/>
            <w:vAlign w:val="bottom"/>
            <w:hideMark/>
          </w:tcPr>
          <w:p w14:paraId="3FCB932F"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2</w:t>
            </w:r>
          </w:p>
        </w:tc>
        <w:tc>
          <w:tcPr>
            <w:tcW w:w="1043" w:type="dxa"/>
            <w:tcBorders>
              <w:top w:val="nil"/>
              <w:left w:val="nil"/>
              <w:bottom w:val="nil"/>
              <w:right w:val="nil"/>
            </w:tcBorders>
            <w:shd w:val="clear" w:color="auto" w:fill="auto"/>
            <w:noWrap/>
            <w:vAlign w:val="bottom"/>
            <w:hideMark/>
          </w:tcPr>
          <w:p w14:paraId="7FDA45D7"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0.09</w:t>
            </w:r>
          </w:p>
        </w:tc>
      </w:tr>
      <w:tr w:rsidR="00C32380" w:rsidRPr="00C32380" w14:paraId="72EF1080"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33946888"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2003-2006</w:t>
            </w:r>
          </w:p>
        </w:tc>
        <w:tc>
          <w:tcPr>
            <w:tcW w:w="1233" w:type="dxa"/>
            <w:tcBorders>
              <w:top w:val="nil"/>
              <w:left w:val="nil"/>
              <w:bottom w:val="nil"/>
              <w:right w:val="nil"/>
            </w:tcBorders>
            <w:shd w:val="clear" w:color="auto" w:fill="auto"/>
            <w:noWrap/>
            <w:vAlign w:val="bottom"/>
            <w:hideMark/>
          </w:tcPr>
          <w:p w14:paraId="5F7B06B1"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40</w:t>
            </w:r>
          </w:p>
        </w:tc>
        <w:tc>
          <w:tcPr>
            <w:tcW w:w="1140" w:type="dxa"/>
            <w:tcBorders>
              <w:top w:val="nil"/>
              <w:left w:val="nil"/>
              <w:bottom w:val="nil"/>
              <w:right w:val="nil"/>
            </w:tcBorders>
            <w:shd w:val="clear" w:color="auto" w:fill="auto"/>
            <w:noWrap/>
            <w:vAlign w:val="bottom"/>
            <w:hideMark/>
          </w:tcPr>
          <w:p w14:paraId="0DBC939D"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1677A350"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20</w:t>
            </w:r>
          </w:p>
        </w:tc>
        <w:tc>
          <w:tcPr>
            <w:tcW w:w="1080" w:type="dxa"/>
            <w:tcBorders>
              <w:top w:val="nil"/>
              <w:left w:val="nil"/>
              <w:bottom w:val="nil"/>
              <w:right w:val="nil"/>
            </w:tcBorders>
            <w:shd w:val="clear" w:color="auto" w:fill="auto"/>
            <w:noWrap/>
            <w:vAlign w:val="bottom"/>
            <w:hideMark/>
          </w:tcPr>
          <w:p w14:paraId="06C0ED29"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0.50</w:t>
            </w:r>
          </w:p>
        </w:tc>
        <w:tc>
          <w:tcPr>
            <w:tcW w:w="1059" w:type="dxa"/>
            <w:tcBorders>
              <w:top w:val="nil"/>
              <w:left w:val="nil"/>
              <w:bottom w:val="nil"/>
              <w:right w:val="nil"/>
            </w:tcBorders>
            <w:shd w:val="clear" w:color="auto" w:fill="auto"/>
            <w:noWrap/>
            <w:vAlign w:val="bottom"/>
            <w:hideMark/>
          </w:tcPr>
          <w:p w14:paraId="3257011B"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4</w:t>
            </w:r>
          </w:p>
        </w:tc>
        <w:tc>
          <w:tcPr>
            <w:tcW w:w="1043" w:type="dxa"/>
            <w:tcBorders>
              <w:top w:val="nil"/>
              <w:left w:val="nil"/>
              <w:bottom w:val="nil"/>
              <w:right w:val="nil"/>
            </w:tcBorders>
            <w:shd w:val="clear" w:color="auto" w:fill="auto"/>
            <w:noWrap/>
            <w:vAlign w:val="bottom"/>
            <w:hideMark/>
          </w:tcPr>
          <w:p w14:paraId="4ED2400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0.10</w:t>
            </w:r>
          </w:p>
        </w:tc>
      </w:tr>
      <w:tr w:rsidR="00C32380" w:rsidRPr="00C32380" w14:paraId="6119FB66"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5858F509"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2007-2010 </w:t>
            </w:r>
          </w:p>
        </w:tc>
        <w:tc>
          <w:tcPr>
            <w:tcW w:w="1233" w:type="dxa"/>
            <w:tcBorders>
              <w:top w:val="nil"/>
              <w:left w:val="nil"/>
              <w:bottom w:val="nil"/>
              <w:right w:val="nil"/>
            </w:tcBorders>
            <w:shd w:val="clear" w:color="auto" w:fill="auto"/>
            <w:noWrap/>
            <w:vAlign w:val="bottom"/>
            <w:hideMark/>
          </w:tcPr>
          <w:p w14:paraId="67BD41E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66</w:t>
            </w:r>
          </w:p>
        </w:tc>
        <w:tc>
          <w:tcPr>
            <w:tcW w:w="1140" w:type="dxa"/>
            <w:tcBorders>
              <w:top w:val="nil"/>
              <w:left w:val="nil"/>
              <w:bottom w:val="nil"/>
              <w:right w:val="nil"/>
            </w:tcBorders>
            <w:shd w:val="clear" w:color="auto" w:fill="auto"/>
            <w:noWrap/>
            <w:vAlign w:val="bottom"/>
            <w:hideMark/>
          </w:tcPr>
          <w:p w14:paraId="6295D00C"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285B3EB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28</w:t>
            </w:r>
          </w:p>
        </w:tc>
        <w:tc>
          <w:tcPr>
            <w:tcW w:w="1080" w:type="dxa"/>
            <w:tcBorders>
              <w:top w:val="nil"/>
              <w:left w:val="nil"/>
              <w:bottom w:val="nil"/>
              <w:right w:val="nil"/>
            </w:tcBorders>
            <w:shd w:val="clear" w:color="auto" w:fill="auto"/>
            <w:noWrap/>
            <w:vAlign w:val="bottom"/>
            <w:hideMark/>
          </w:tcPr>
          <w:p w14:paraId="4F82C57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0.42</w:t>
            </w:r>
          </w:p>
        </w:tc>
        <w:tc>
          <w:tcPr>
            <w:tcW w:w="1059" w:type="dxa"/>
            <w:tcBorders>
              <w:top w:val="nil"/>
              <w:left w:val="nil"/>
              <w:bottom w:val="nil"/>
              <w:right w:val="nil"/>
            </w:tcBorders>
            <w:shd w:val="clear" w:color="auto" w:fill="auto"/>
            <w:noWrap/>
            <w:vAlign w:val="bottom"/>
            <w:hideMark/>
          </w:tcPr>
          <w:p w14:paraId="66DDE973"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7</w:t>
            </w:r>
          </w:p>
        </w:tc>
        <w:tc>
          <w:tcPr>
            <w:tcW w:w="1043" w:type="dxa"/>
            <w:tcBorders>
              <w:top w:val="nil"/>
              <w:left w:val="nil"/>
              <w:bottom w:val="nil"/>
              <w:right w:val="nil"/>
            </w:tcBorders>
            <w:shd w:val="clear" w:color="auto" w:fill="auto"/>
            <w:noWrap/>
            <w:vAlign w:val="bottom"/>
            <w:hideMark/>
          </w:tcPr>
          <w:p w14:paraId="6A51D9B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0.11</w:t>
            </w:r>
          </w:p>
        </w:tc>
      </w:tr>
      <w:tr w:rsidR="00C32380" w:rsidRPr="00C32380" w14:paraId="08A8AB47"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3CCE618E"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2011-2014</w:t>
            </w:r>
          </w:p>
        </w:tc>
        <w:tc>
          <w:tcPr>
            <w:tcW w:w="1233" w:type="dxa"/>
            <w:tcBorders>
              <w:top w:val="nil"/>
              <w:left w:val="nil"/>
              <w:bottom w:val="nil"/>
              <w:right w:val="nil"/>
            </w:tcBorders>
            <w:shd w:val="clear" w:color="auto" w:fill="auto"/>
            <w:noWrap/>
            <w:vAlign w:val="bottom"/>
            <w:hideMark/>
          </w:tcPr>
          <w:p w14:paraId="548154D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62</w:t>
            </w:r>
          </w:p>
        </w:tc>
        <w:tc>
          <w:tcPr>
            <w:tcW w:w="1140" w:type="dxa"/>
            <w:tcBorders>
              <w:top w:val="nil"/>
              <w:left w:val="nil"/>
              <w:bottom w:val="nil"/>
              <w:right w:val="nil"/>
            </w:tcBorders>
            <w:shd w:val="clear" w:color="auto" w:fill="auto"/>
            <w:noWrap/>
            <w:vAlign w:val="bottom"/>
            <w:hideMark/>
          </w:tcPr>
          <w:p w14:paraId="00A05DD4"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233C3774"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15</w:t>
            </w:r>
          </w:p>
        </w:tc>
        <w:tc>
          <w:tcPr>
            <w:tcW w:w="1080" w:type="dxa"/>
            <w:tcBorders>
              <w:top w:val="nil"/>
              <w:left w:val="nil"/>
              <w:bottom w:val="nil"/>
              <w:right w:val="nil"/>
            </w:tcBorders>
            <w:shd w:val="clear" w:color="auto" w:fill="auto"/>
            <w:noWrap/>
            <w:vAlign w:val="bottom"/>
            <w:hideMark/>
          </w:tcPr>
          <w:p w14:paraId="582821C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0.24</w:t>
            </w:r>
          </w:p>
        </w:tc>
        <w:tc>
          <w:tcPr>
            <w:tcW w:w="1059" w:type="dxa"/>
            <w:tcBorders>
              <w:top w:val="nil"/>
              <w:left w:val="nil"/>
              <w:bottom w:val="nil"/>
              <w:right w:val="nil"/>
            </w:tcBorders>
            <w:shd w:val="clear" w:color="auto" w:fill="auto"/>
            <w:noWrap/>
            <w:vAlign w:val="bottom"/>
            <w:hideMark/>
          </w:tcPr>
          <w:p w14:paraId="16A49CF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15</w:t>
            </w:r>
          </w:p>
        </w:tc>
        <w:tc>
          <w:tcPr>
            <w:tcW w:w="1043" w:type="dxa"/>
            <w:tcBorders>
              <w:top w:val="nil"/>
              <w:left w:val="nil"/>
              <w:bottom w:val="nil"/>
              <w:right w:val="nil"/>
            </w:tcBorders>
            <w:shd w:val="clear" w:color="auto" w:fill="auto"/>
            <w:noWrap/>
            <w:vAlign w:val="bottom"/>
            <w:hideMark/>
          </w:tcPr>
          <w:p w14:paraId="44263414"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0.24</w:t>
            </w:r>
          </w:p>
        </w:tc>
      </w:tr>
      <w:tr w:rsidR="00C32380" w:rsidRPr="00C32380" w14:paraId="1CBDD6AD"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35578DB1" w14:textId="77777777" w:rsidR="009131D6" w:rsidRDefault="009131D6" w:rsidP="00C32380">
            <w:pPr>
              <w:spacing w:after="0" w:line="240" w:lineRule="auto"/>
              <w:rPr>
                <w:rFonts w:ascii="Calibri" w:eastAsia="Times New Roman" w:hAnsi="Calibri" w:cs="Times New Roman"/>
                <w:color w:val="000000"/>
              </w:rPr>
            </w:pPr>
          </w:p>
          <w:p w14:paraId="49BF6542"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2010, most recent </w:t>
            </w:r>
          </w:p>
        </w:tc>
        <w:tc>
          <w:tcPr>
            <w:tcW w:w="1233" w:type="dxa"/>
            <w:tcBorders>
              <w:top w:val="nil"/>
              <w:left w:val="nil"/>
              <w:bottom w:val="nil"/>
              <w:right w:val="nil"/>
            </w:tcBorders>
            <w:shd w:val="clear" w:color="auto" w:fill="auto"/>
            <w:noWrap/>
            <w:vAlign w:val="bottom"/>
            <w:hideMark/>
          </w:tcPr>
          <w:p w14:paraId="4E9C8418" w14:textId="77777777" w:rsidR="00C32380" w:rsidRPr="00C32380" w:rsidRDefault="00C32380" w:rsidP="00C3238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14:paraId="658474D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51</w:t>
            </w:r>
          </w:p>
        </w:tc>
        <w:tc>
          <w:tcPr>
            <w:tcW w:w="1059" w:type="dxa"/>
            <w:tcBorders>
              <w:top w:val="nil"/>
              <w:left w:val="nil"/>
              <w:bottom w:val="nil"/>
              <w:right w:val="nil"/>
            </w:tcBorders>
            <w:shd w:val="clear" w:color="auto" w:fill="auto"/>
            <w:noWrap/>
            <w:vAlign w:val="bottom"/>
            <w:hideMark/>
          </w:tcPr>
          <w:p w14:paraId="258454EC"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16</w:t>
            </w:r>
          </w:p>
        </w:tc>
        <w:tc>
          <w:tcPr>
            <w:tcW w:w="1080" w:type="dxa"/>
            <w:tcBorders>
              <w:top w:val="nil"/>
              <w:left w:val="nil"/>
              <w:bottom w:val="nil"/>
              <w:right w:val="nil"/>
            </w:tcBorders>
            <w:shd w:val="clear" w:color="auto" w:fill="auto"/>
            <w:noWrap/>
            <w:vAlign w:val="bottom"/>
            <w:hideMark/>
          </w:tcPr>
          <w:p w14:paraId="60BAA744"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0.31</w:t>
            </w:r>
          </w:p>
        </w:tc>
        <w:tc>
          <w:tcPr>
            <w:tcW w:w="1059" w:type="dxa"/>
            <w:tcBorders>
              <w:top w:val="nil"/>
              <w:left w:val="nil"/>
              <w:bottom w:val="nil"/>
              <w:right w:val="nil"/>
            </w:tcBorders>
            <w:shd w:val="clear" w:color="auto" w:fill="auto"/>
            <w:noWrap/>
            <w:vAlign w:val="bottom"/>
            <w:hideMark/>
          </w:tcPr>
          <w:p w14:paraId="73AFCB1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7</w:t>
            </w:r>
          </w:p>
        </w:tc>
        <w:tc>
          <w:tcPr>
            <w:tcW w:w="1043" w:type="dxa"/>
            <w:tcBorders>
              <w:top w:val="nil"/>
              <w:left w:val="nil"/>
              <w:bottom w:val="nil"/>
              <w:right w:val="nil"/>
            </w:tcBorders>
            <w:shd w:val="clear" w:color="auto" w:fill="auto"/>
            <w:noWrap/>
            <w:vAlign w:val="bottom"/>
            <w:hideMark/>
          </w:tcPr>
          <w:p w14:paraId="3A1041EC"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0.14</w:t>
            </w:r>
          </w:p>
        </w:tc>
      </w:tr>
      <w:tr w:rsidR="00C32380" w:rsidRPr="00C32380" w14:paraId="0B0D9F37"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39E15974"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2014, most recent</w:t>
            </w:r>
          </w:p>
        </w:tc>
        <w:tc>
          <w:tcPr>
            <w:tcW w:w="1233" w:type="dxa"/>
            <w:tcBorders>
              <w:top w:val="nil"/>
              <w:left w:val="nil"/>
              <w:bottom w:val="nil"/>
              <w:right w:val="nil"/>
            </w:tcBorders>
            <w:shd w:val="clear" w:color="auto" w:fill="auto"/>
            <w:noWrap/>
            <w:vAlign w:val="bottom"/>
            <w:hideMark/>
          </w:tcPr>
          <w:p w14:paraId="1531903C" w14:textId="77777777" w:rsidR="00C32380" w:rsidRPr="00C32380" w:rsidRDefault="00C32380" w:rsidP="00C3238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14:paraId="29770027"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52</w:t>
            </w:r>
          </w:p>
        </w:tc>
        <w:tc>
          <w:tcPr>
            <w:tcW w:w="1059" w:type="dxa"/>
            <w:tcBorders>
              <w:top w:val="nil"/>
              <w:left w:val="nil"/>
              <w:bottom w:val="nil"/>
              <w:right w:val="nil"/>
            </w:tcBorders>
            <w:shd w:val="clear" w:color="auto" w:fill="auto"/>
            <w:noWrap/>
            <w:vAlign w:val="bottom"/>
            <w:hideMark/>
          </w:tcPr>
          <w:p w14:paraId="554D8E0A"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4</w:t>
            </w:r>
          </w:p>
        </w:tc>
        <w:tc>
          <w:tcPr>
            <w:tcW w:w="1080" w:type="dxa"/>
            <w:tcBorders>
              <w:top w:val="nil"/>
              <w:left w:val="nil"/>
              <w:bottom w:val="nil"/>
              <w:right w:val="nil"/>
            </w:tcBorders>
            <w:shd w:val="clear" w:color="auto" w:fill="auto"/>
            <w:noWrap/>
            <w:vAlign w:val="bottom"/>
            <w:hideMark/>
          </w:tcPr>
          <w:p w14:paraId="1B4F067A"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0.08</w:t>
            </w:r>
          </w:p>
        </w:tc>
        <w:tc>
          <w:tcPr>
            <w:tcW w:w="1059" w:type="dxa"/>
            <w:tcBorders>
              <w:top w:val="nil"/>
              <w:left w:val="nil"/>
              <w:bottom w:val="nil"/>
              <w:right w:val="nil"/>
            </w:tcBorders>
            <w:shd w:val="clear" w:color="auto" w:fill="auto"/>
            <w:noWrap/>
            <w:vAlign w:val="bottom"/>
            <w:hideMark/>
          </w:tcPr>
          <w:p w14:paraId="41B83EED"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14</w:t>
            </w:r>
          </w:p>
        </w:tc>
        <w:tc>
          <w:tcPr>
            <w:tcW w:w="1043" w:type="dxa"/>
            <w:tcBorders>
              <w:top w:val="nil"/>
              <w:left w:val="nil"/>
              <w:bottom w:val="nil"/>
              <w:right w:val="nil"/>
            </w:tcBorders>
            <w:shd w:val="clear" w:color="auto" w:fill="auto"/>
            <w:noWrap/>
            <w:vAlign w:val="bottom"/>
            <w:hideMark/>
          </w:tcPr>
          <w:p w14:paraId="5452E44F"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0.27</w:t>
            </w:r>
          </w:p>
        </w:tc>
      </w:tr>
      <w:tr w:rsidR="00C32380" w:rsidRPr="00C32380" w14:paraId="4B80554E" w14:textId="77777777" w:rsidTr="00C32380">
        <w:trPr>
          <w:trHeight w:val="290"/>
        </w:trPr>
        <w:tc>
          <w:tcPr>
            <w:tcW w:w="1813" w:type="dxa"/>
            <w:tcBorders>
              <w:top w:val="nil"/>
              <w:left w:val="nil"/>
              <w:bottom w:val="nil"/>
              <w:right w:val="nil"/>
            </w:tcBorders>
            <w:shd w:val="clear" w:color="auto" w:fill="auto"/>
            <w:noWrap/>
            <w:vAlign w:val="bottom"/>
            <w:hideMark/>
          </w:tcPr>
          <w:p w14:paraId="24A1C5C4"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14:paraId="6D2CC04D"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68DA2A7A"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49C88BA"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54360B74"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86250B6"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2EBF1B5A"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14:paraId="74891F3D" w14:textId="77777777" w:rsidR="00C32380" w:rsidRPr="00C32380" w:rsidRDefault="00C32380" w:rsidP="00C32380">
            <w:pPr>
              <w:spacing w:after="0" w:line="240" w:lineRule="auto"/>
              <w:rPr>
                <w:rFonts w:ascii="Times New Roman" w:eastAsia="Times New Roman" w:hAnsi="Times New Roman" w:cs="Times New Roman"/>
                <w:sz w:val="20"/>
                <w:szCs w:val="20"/>
              </w:rPr>
            </w:pPr>
          </w:p>
        </w:tc>
      </w:tr>
      <w:tr w:rsidR="00C32380" w:rsidRPr="00C32380" w14:paraId="63BD521B" w14:textId="77777777" w:rsidTr="00C32380">
        <w:trPr>
          <w:trHeight w:val="290"/>
        </w:trPr>
        <w:tc>
          <w:tcPr>
            <w:tcW w:w="1813" w:type="dxa"/>
            <w:tcBorders>
              <w:top w:val="nil"/>
              <w:left w:val="nil"/>
              <w:bottom w:val="nil"/>
              <w:right w:val="nil"/>
            </w:tcBorders>
            <w:shd w:val="clear" w:color="auto" w:fill="auto"/>
            <w:noWrap/>
            <w:vAlign w:val="bottom"/>
            <w:hideMark/>
          </w:tcPr>
          <w:p w14:paraId="15556BC7"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9146DFD"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6FCC3B54"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90CFD1B"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5256A463"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0ED50EA"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0B4610E1"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14:paraId="1A02427C" w14:textId="77777777" w:rsidR="00C32380" w:rsidRPr="00C32380" w:rsidRDefault="00C32380" w:rsidP="00C32380">
            <w:pPr>
              <w:spacing w:after="0" w:line="240" w:lineRule="auto"/>
              <w:rPr>
                <w:rFonts w:ascii="Times New Roman" w:eastAsia="Times New Roman" w:hAnsi="Times New Roman" w:cs="Times New Roman"/>
                <w:sz w:val="20"/>
                <w:szCs w:val="20"/>
              </w:rPr>
            </w:pPr>
          </w:p>
        </w:tc>
      </w:tr>
      <w:tr w:rsidR="00C32380" w:rsidRPr="00C32380" w14:paraId="46A9A38D"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7103C573"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TOWER HAMLETS  </w:t>
            </w:r>
          </w:p>
        </w:tc>
        <w:tc>
          <w:tcPr>
            <w:tcW w:w="1233" w:type="dxa"/>
            <w:tcBorders>
              <w:top w:val="nil"/>
              <w:left w:val="nil"/>
              <w:bottom w:val="nil"/>
              <w:right w:val="nil"/>
            </w:tcBorders>
            <w:shd w:val="clear" w:color="auto" w:fill="auto"/>
            <w:noWrap/>
            <w:vAlign w:val="bottom"/>
            <w:hideMark/>
          </w:tcPr>
          <w:p w14:paraId="38BABF58" w14:textId="77777777" w:rsidR="00C32380" w:rsidRPr="00C32380" w:rsidRDefault="00C32380" w:rsidP="00C3238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14:paraId="6F4B6277"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A0D64B8"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EDDB97E"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0B21D7AA"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14:paraId="2C5B53C6" w14:textId="77777777" w:rsidR="00C32380" w:rsidRPr="00C32380" w:rsidRDefault="00C32380" w:rsidP="00C32380">
            <w:pPr>
              <w:spacing w:after="0" w:line="240" w:lineRule="auto"/>
              <w:rPr>
                <w:rFonts w:ascii="Times New Roman" w:eastAsia="Times New Roman" w:hAnsi="Times New Roman" w:cs="Times New Roman"/>
                <w:sz w:val="20"/>
                <w:szCs w:val="20"/>
              </w:rPr>
            </w:pPr>
          </w:p>
        </w:tc>
      </w:tr>
      <w:tr w:rsidR="00C32380" w:rsidRPr="00C32380" w14:paraId="502DC100"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74F44324"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2000-2002</w:t>
            </w:r>
          </w:p>
        </w:tc>
        <w:tc>
          <w:tcPr>
            <w:tcW w:w="1233" w:type="dxa"/>
            <w:tcBorders>
              <w:top w:val="nil"/>
              <w:left w:val="nil"/>
              <w:bottom w:val="nil"/>
              <w:right w:val="nil"/>
            </w:tcBorders>
            <w:shd w:val="clear" w:color="auto" w:fill="auto"/>
            <w:noWrap/>
            <w:vAlign w:val="bottom"/>
            <w:hideMark/>
          </w:tcPr>
          <w:p w14:paraId="59C0C3FF"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40</w:t>
            </w:r>
          </w:p>
        </w:tc>
        <w:tc>
          <w:tcPr>
            <w:tcW w:w="1140" w:type="dxa"/>
            <w:tcBorders>
              <w:top w:val="nil"/>
              <w:left w:val="nil"/>
              <w:bottom w:val="nil"/>
              <w:right w:val="nil"/>
            </w:tcBorders>
            <w:shd w:val="clear" w:color="auto" w:fill="auto"/>
            <w:noWrap/>
            <w:vAlign w:val="bottom"/>
            <w:hideMark/>
          </w:tcPr>
          <w:p w14:paraId="532BFAA8"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593BE3E2"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8</w:t>
            </w:r>
          </w:p>
        </w:tc>
        <w:tc>
          <w:tcPr>
            <w:tcW w:w="1080" w:type="dxa"/>
            <w:tcBorders>
              <w:top w:val="nil"/>
              <w:left w:val="nil"/>
              <w:bottom w:val="nil"/>
              <w:right w:val="nil"/>
            </w:tcBorders>
            <w:shd w:val="clear" w:color="auto" w:fill="auto"/>
            <w:noWrap/>
            <w:vAlign w:val="bottom"/>
            <w:hideMark/>
          </w:tcPr>
          <w:p w14:paraId="69A241AC"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0.20</w:t>
            </w:r>
          </w:p>
        </w:tc>
        <w:tc>
          <w:tcPr>
            <w:tcW w:w="1059" w:type="dxa"/>
            <w:tcBorders>
              <w:top w:val="nil"/>
              <w:left w:val="nil"/>
              <w:bottom w:val="nil"/>
              <w:right w:val="nil"/>
            </w:tcBorders>
            <w:shd w:val="clear" w:color="auto" w:fill="auto"/>
            <w:noWrap/>
            <w:vAlign w:val="bottom"/>
            <w:hideMark/>
          </w:tcPr>
          <w:p w14:paraId="10BE44E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9</w:t>
            </w:r>
          </w:p>
        </w:tc>
        <w:tc>
          <w:tcPr>
            <w:tcW w:w="1043" w:type="dxa"/>
            <w:tcBorders>
              <w:top w:val="nil"/>
              <w:left w:val="nil"/>
              <w:bottom w:val="nil"/>
              <w:right w:val="nil"/>
            </w:tcBorders>
            <w:shd w:val="clear" w:color="auto" w:fill="auto"/>
            <w:noWrap/>
            <w:vAlign w:val="bottom"/>
            <w:hideMark/>
          </w:tcPr>
          <w:p w14:paraId="6E65BDC2"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0.23</w:t>
            </w:r>
          </w:p>
        </w:tc>
      </w:tr>
      <w:tr w:rsidR="00C32380" w:rsidRPr="00C32380" w14:paraId="08D01C3E"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0651EADB"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2003-2006</w:t>
            </w:r>
          </w:p>
        </w:tc>
        <w:tc>
          <w:tcPr>
            <w:tcW w:w="1233" w:type="dxa"/>
            <w:tcBorders>
              <w:top w:val="nil"/>
              <w:left w:val="nil"/>
              <w:bottom w:val="nil"/>
              <w:right w:val="nil"/>
            </w:tcBorders>
            <w:shd w:val="clear" w:color="auto" w:fill="auto"/>
            <w:noWrap/>
            <w:vAlign w:val="bottom"/>
            <w:hideMark/>
          </w:tcPr>
          <w:p w14:paraId="0FAB7C79"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49</w:t>
            </w:r>
          </w:p>
        </w:tc>
        <w:tc>
          <w:tcPr>
            <w:tcW w:w="1140" w:type="dxa"/>
            <w:tcBorders>
              <w:top w:val="nil"/>
              <w:left w:val="nil"/>
              <w:bottom w:val="nil"/>
              <w:right w:val="nil"/>
            </w:tcBorders>
            <w:shd w:val="clear" w:color="auto" w:fill="auto"/>
            <w:noWrap/>
            <w:vAlign w:val="bottom"/>
            <w:hideMark/>
          </w:tcPr>
          <w:p w14:paraId="40D2E82D"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7621E55B"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16</w:t>
            </w:r>
          </w:p>
        </w:tc>
        <w:tc>
          <w:tcPr>
            <w:tcW w:w="1080" w:type="dxa"/>
            <w:tcBorders>
              <w:top w:val="nil"/>
              <w:left w:val="nil"/>
              <w:bottom w:val="nil"/>
              <w:right w:val="nil"/>
            </w:tcBorders>
            <w:shd w:val="clear" w:color="auto" w:fill="auto"/>
            <w:noWrap/>
            <w:vAlign w:val="bottom"/>
            <w:hideMark/>
          </w:tcPr>
          <w:p w14:paraId="0D68BA30"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0.33</w:t>
            </w:r>
          </w:p>
        </w:tc>
        <w:tc>
          <w:tcPr>
            <w:tcW w:w="1059" w:type="dxa"/>
            <w:tcBorders>
              <w:top w:val="nil"/>
              <w:left w:val="nil"/>
              <w:bottom w:val="nil"/>
              <w:right w:val="nil"/>
            </w:tcBorders>
            <w:shd w:val="clear" w:color="auto" w:fill="auto"/>
            <w:noWrap/>
            <w:vAlign w:val="bottom"/>
            <w:hideMark/>
          </w:tcPr>
          <w:p w14:paraId="05BB8D19"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9</w:t>
            </w:r>
          </w:p>
        </w:tc>
        <w:tc>
          <w:tcPr>
            <w:tcW w:w="1043" w:type="dxa"/>
            <w:tcBorders>
              <w:top w:val="nil"/>
              <w:left w:val="nil"/>
              <w:bottom w:val="nil"/>
              <w:right w:val="nil"/>
            </w:tcBorders>
            <w:shd w:val="clear" w:color="auto" w:fill="auto"/>
            <w:noWrap/>
            <w:vAlign w:val="bottom"/>
            <w:hideMark/>
          </w:tcPr>
          <w:p w14:paraId="07209A67"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0.18</w:t>
            </w:r>
          </w:p>
        </w:tc>
      </w:tr>
      <w:tr w:rsidR="00C32380" w:rsidRPr="00C32380" w14:paraId="5CB618A1"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32D81A31"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2007-2010 </w:t>
            </w:r>
          </w:p>
        </w:tc>
        <w:tc>
          <w:tcPr>
            <w:tcW w:w="1233" w:type="dxa"/>
            <w:tcBorders>
              <w:top w:val="nil"/>
              <w:left w:val="nil"/>
              <w:bottom w:val="nil"/>
              <w:right w:val="nil"/>
            </w:tcBorders>
            <w:shd w:val="clear" w:color="auto" w:fill="auto"/>
            <w:noWrap/>
            <w:vAlign w:val="bottom"/>
            <w:hideMark/>
          </w:tcPr>
          <w:p w14:paraId="27718EF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78</w:t>
            </w:r>
          </w:p>
        </w:tc>
        <w:tc>
          <w:tcPr>
            <w:tcW w:w="1140" w:type="dxa"/>
            <w:tcBorders>
              <w:top w:val="nil"/>
              <w:left w:val="nil"/>
              <w:bottom w:val="nil"/>
              <w:right w:val="nil"/>
            </w:tcBorders>
            <w:shd w:val="clear" w:color="auto" w:fill="auto"/>
            <w:noWrap/>
            <w:vAlign w:val="bottom"/>
            <w:hideMark/>
          </w:tcPr>
          <w:p w14:paraId="4A863FF2"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1B4FF2D2"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23</w:t>
            </w:r>
          </w:p>
        </w:tc>
        <w:tc>
          <w:tcPr>
            <w:tcW w:w="1080" w:type="dxa"/>
            <w:tcBorders>
              <w:top w:val="nil"/>
              <w:left w:val="nil"/>
              <w:bottom w:val="nil"/>
              <w:right w:val="nil"/>
            </w:tcBorders>
            <w:shd w:val="clear" w:color="auto" w:fill="auto"/>
            <w:noWrap/>
            <w:vAlign w:val="bottom"/>
            <w:hideMark/>
          </w:tcPr>
          <w:p w14:paraId="652315D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0.29</w:t>
            </w:r>
          </w:p>
        </w:tc>
        <w:tc>
          <w:tcPr>
            <w:tcW w:w="1059" w:type="dxa"/>
            <w:tcBorders>
              <w:top w:val="nil"/>
              <w:left w:val="nil"/>
              <w:bottom w:val="nil"/>
              <w:right w:val="nil"/>
            </w:tcBorders>
            <w:shd w:val="clear" w:color="auto" w:fill="auto"/>
            <w:noWrap/>
            <w:vAlign w:val="bottom"/>
            <w:hideMark/>
          </w:tcPr>
          <w:p w14:paraId="0E09B1C0"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17</w:t>
            </w:r>
          </w:p>
        </w:tc>
        <w:tc>
          <w:tcPr>
            <w:tcW w:w="1043" w:type="dxa"/>
            <w:tcBorders>
              <w:top w:val="nil"/>
              <w:left w:val="nil"/>
              <w:bottom w:val="nil"/>
              <w:right w:val="nil"/>
            </w:tcBorders>
            <w:shd w:val="clear" w:color="auto" w:fill="auto"/>
            <w:noWrap/>
            <w:vAlign w:val="bottom"/>
            <w:hideMark/>
          </w:tcPr>
          <w:p w14:paraId="24F4C1A8"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0.22</w:t>
            </w:r>
          </w:p>
        </w:tc>
      </w:tr>
      <w:tr w:rsidR="00C32380" w:rsidRPr="00C32380" w14:paraId="1DF3D626"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50DBC715"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2011-2014</w:t>
            </w:r>
          </w:p>
        </w:tc>
        <w:tc>
          <w:tcPr>
            <w:tcW w:w="1233" w:type="dxa"/>
            <w:tcBorders>
              <w:top w:val="nil"/>
              <w:left w:val="nil"/>
              <w:bottom w:val="nil"/>
              <w:right w:val="nil"/>
            </w:tcBorders>
            <w:shd w:val="clear" w:color="auto" w:fill="auto"/>
            <w:noWrap/>
            <w:vAlign w:val="bottom"/>
            <w:hideMark/>
          </w:tcPr>
          <w:p w14:paraId="1A714E5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79</w:t>
            </w:r>
          </w:p>
        </w:tc>
        <w:tc>
          <w:tcPr>
            <w:tcW w:w="1140" w:type="dxa"/>
            <w:tcBorders>
              <w:top w:val="nil"/>
              <w:left w:val="nil"/>
              <w:bottom w:val="nil"/>
              <w:right w:val="nil"/>
            </w:tcBorders>
            <w:shd w:val="clear" w:color="auto" w:fill="auto"/>
            <w:noWrap/>
            <w:vAlign w:val="bottom"/>
            <w:hideMark/>
          </w:tcPr>
          <w:p w14:paraId="07D8288B" w14:textId="77777777" w:rsidR="00C32380" w:rsidRPr="00C32380" w:rsidRDefault="00C32380" w:rsidP="00C32380">
            <w:pPr>
              <w:spacing w:after="0" w:line="240" w:lineRule="auto"/>
              <w:jc w:val="right"/>
              <w:rPr>
                <w:rFonts w:ascii="Calibri" w:eastAsia="Times New Roman" w:hAnsi="Calibri" w:cs="Times New Roman"/>
                <w:color w:val="000000"/>
              </w:rPr>
            </w:pPr>
          </w:p>
        </w:tc>
        <w:tc>
          <w:tcPr>
            <w:tcW w:w="1059" w:type="dxa"/>
            <w:tcBorders>
              <w:top w:val="nil"/>
              <w:left w:val="nil"/>
              <w:bottom w:val="nil"/>
              <w:right w:val="nil"/>
            </w:tcBorders>
            <w:shd w:val="clear" w:color="auto" w:fill="auto"/>
            <w:noWrap/>
            <w:vAlign w:val="bottom"/>
            <w:hideMark/>
          </w:tcPr>
          <w:p w14:paraId="0A981F69"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23</w:t>
            </w:r>
          </w:p>
        </w:tc>
        <w:tc>
          <w:tcPr>
            <w:tcW w:w="1080" w:type="dxa"/>
            <w:tcBorders>
              <w:top w:val="nil"/>
              <w:left w:val="nil"/>
              <w:bottom w:val="nil"/>
              <w:right w:val="nil"/>
            </w:tcBorders>
            <w:shd w:val="clear" w:color="auto" w:fill="auto"/>
            <w:noWrap/>
            <w:vAlign w:val="bottom"/>
            <w:hideMark/>
          </w:tcPr>
          <w:p w14:paraId="08F9BA7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0.29</w:t>
            </w:r>
          </w:p>
        </w:tc>
        <w:tc>
          <w:tcPr>
            <w:tcW w:w="1059" w:type="dxa"/>
            <w:tcBorders>
              <w:top w:val="nil"/>
              <w:left w:val="nil"/>
              <w:bottom w:val="nil"/>
              <w:right w:val="nil"/>
            </w:tcBorders>
            <w:shd w:val="clear" w:color="auto" w:fill="auto"/>
            <w:noWrap/>
            <w:vAlign w:val="bottom"/>
            <w:hideMark/>
          </w:tcPr>
          <w:p w14:paraId="6F7421DA"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9</w:t>
            </w:r>
          </w:p>
        </w:tc>
        <w:tc>
          <w:tcPr>
            <w:tcW w:w="1043" w:type="dxa"/>
            <w:tcBorders>
              <w:top w:val="nil"/>
              <w:left w:val="nil"/>
              <w:bottom w:val="nil"/>
              <w:right w:val="nil"/>
            </w:tcBorders>
            <w:shd w:val="clear" w:color="auto" w:fill="auto"/>
            <w:noWrap/>
            <w:vAlign w:val="bottom"/>
            <w:hideMark/>
          </w:tcPr>
          <w:p w14:paraId="55439D3B"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0.11</w:t>
            </w:r>
          </w:p>
        </w:tc>
      </w:tr>
      <w:tr w:rsidR="00C32380" w:rsidRPr="00C32380" w14:paraId="101E3772"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7AE3825C" w14:textId="77777777" w:rsidR="009131D6" w:rsidRDefault="009131D6" w:rsidP="00C32380">
            <w:pPr>
              <w:spacing w:after="0" w:line="240" w:lineRule="auto"/>
              <w:rPr>
                <w:rFonts w:ascii="Calibri" w:eastAsia="Times New Roman" w:hAnsi="Calibri" w:cs="Times New Roman"/>
                <w:color w:val="000000"/>
              </w:rPr>
            </w:pPr>
          </w:p>
          <w:p w14:paraId="2E6B30FE"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 xml:space="preserve">2010, most recent </w:t>
            </w:r>
          </w:p>
        </w:tc>
        <w:tc>
          <w:tcPr>
            <w:tcW w:w="1233" w:type="dxa"/>
            <w:tcBorders>
              <w:top w:val="nil"/>
              <w:left w:val="nil"/>
              <w:bottom w:val="nil"/>
              <w:right w:val="nil"/>
            </w:tcBorders>
            <w:shd w:val="clear" w:color="auto" w:fill="auto"/>
            <w:noWrap/>
            <w:vAlign w:val="bottom"/>
            <w:hideMark/>
          </w:tcPr>
          <w:p w14:paraId="61435B29" w14:textId="77777777" w:rsidR="00C32380" w:rsidRPr="00C32380" w:rsidRDefault="00C32380" w:rsidP="00C3238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14:paraId="700D1A6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63</w:t>
            </w:r>
          </w:p>
        </w:tc>
        <w:tc>
          <w:tcPr>
            <w:tcW w:w="1059" w:type="dxa"/>
            <w:tcBorders>
              <w:top w:val="nil"/>
              <w:left w:val="nil"/>
              <w:bottom w:val="nil"/>
              <w:right w:val="nil"/>
            </w:tcBorders>
            <w:shd w:val="clear" w:color="auto" w:fill="auto"/>
            <w:noWrap/>
            <w:vAlign w:val="bottom"/>
            <w:hideMark/>
          </w:tcPr>
          <w:p w14:paraId="41BA811D"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14</w:t>
            </w:r>
          </w:p>
        </w:tc>
        <w:tc>
          <w:tcPr>
            <w:tcW w:w="1080" w:type="dxa"/>
            <w:tcBorders>
              <w:top w:val="nil"/>
              <w:left w:val="nil"/>
              <w:bottom w:val="nil"/>
              <w:right w:val="nil"/>
            </w:tcBorders>
            <w:shd w:val="clear" w:color="auto" w:fill="auto"/>
            <w:noWrap/>
            <w:vAlign w:val="bottom"/>
            <w:hideMark/>
          </w:tcPr>
          <w:p w14:paraId="2AF8091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0.22</w:t>
            </w:r>
          </w:p>
        </w:tc>
        <w:tc>
          <w:tcPr>
            <w:tcW w:w="1059" w:type="dxa"/>
            <w:tcBorders>
              <w:top w:val="nil"/>
              <w:left w:val="nil"/>
              <w:bottom w:val="nil"/>
              <w:right w:val="nil"/>
            </w:tcBorders>
            <w:shd w:val="clear" w:color="auto" w:fill="auto"/>
            <w:noWrap/>
            <w:vAlign w:val="bottom"/>
            <w:hideMark/>
          </w:tcPr>
          <w:p w14:paraId="0881326A"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15</w:t>
            </w:r>
          </w:p>
        </w:tc>
        <w:tc>
          <w:tcPr>
            <w:tcW w:w="1043" w:type="dxa"/>
            <w:tcBorders>
              <w:top w:val="nil"/>
              <w:left w:val="nil"/>
              <w:bottom w:val="nil"/>
              <w:right w:val="nil"/>
            </w:tcBorders>
            <w:shd w:val="clear" w:color="auto" w:fill="auto"/>
            <w:noWrap/>
            <w:vAlign w:val="bottom"/>
            <w:hideMark/>
          </w:tcPr>
          <w:p w14:paraId="5F77C06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0.24</w:t>
            </w:r>
          </w:p>
        </w:tc>
      </w:tr>
      <w:tr w:rsidR="00C32380" w:rsidRPr="00C32380" w14:paraId="265C0364" w14:textId="77777777" w:rsidTr="00C32380">
        <w:trPr>
          <w:trHeight w:val="290"/>
        </w:trPr>
        <w:tc>
          <w:tcPr>
            <w:tcW w:w="2035" w:type="dxa"/>
            <w:gridSpan w:val="2"/>
            <w:tcBorders>
              <w:top w:val="nil"/>
              <w:left w:val="nil"/>
              <w:bottom w:val="nil"/>
              <w:right w:val="nil"/>
            </w:tcBorders>
            <w:shd w:val="clear" w:color="auto" w:fill="auto"/>
            <w:noWrap/>
            <w:vAlign w:val="bottom"/>
            <w:hideMark/>
          </w:tcPr>
          <w:p w14:paraId="7241D113" w14:textId="77777777"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2014, most recent</w:t>
            </w:r>
          </w:p>
        </w:tc>
        <w:tc>
          <w:tcPr>
            <w:tcW w:w="1233" w:type="dxa"/>
            <w:tcBorders>
              <w:top w:val="nil"/>
              <w:left w:val="nil"/>
              <w:bottom w:val="nil"/>
              <w:right w:val="nil"/>
            </w:tcBorders>
            <w:shd w:val="clear" w:color="auto" w:fill="auto"/>
            <w:noWrap/>
            <w:vAlign w:val="bottom"/>
            <w:hideMark/>
          </w:tcPr>
          <w:p w14:paraId="61FEBCBD" w14:textId="77777777" w:rsidR="00C32380" w:rsidRPr="00C32380" w:rsidRDefault="00C32380" w:rsidP="00C3238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14:paraId="049B7BCD"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65</w:t>
            </w:r>
          </w:p>
        </w:tc>
        <w:tc>
          <w:tcPr>
            <w:tcW w:w="1059" w:type="dxa"/>
            <w:tcBorders>
              <w:top w:val="nil"/>
              <w:left w:val="nil"/>
              <w:bottom w:val="nil"/>
              <w:right w:val="nil"/>
            </w:tcBorders>
            <w:shd w:val="clear" w:color="auto" w:fill="auto"/>
            <w:noWrap/>
            <w:vAlign w:val="bottom"/>
            <w:hideMark/>
          </w:tcPr>
          <w:p w14:paraId="5BE9127B"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9</w:t>
            </w:r>
          </w:p>
        </w:tc>
        <w:tc>
          <w:tcPr>
            <w:tcW w:w="1080" w:type="dxa"/>
            <w:tcBorders>
              <w:top w:val="nil"/>
              <w:left w:val="nil"/>
              <w:bottom w:val="nil"/>
              <w:right w:val="nil"/>
            </w:tcBorders>
            <w:shd w:val="clear" w:color="auto" w:fill="auto"/>
            <w:noWrap/>
            <w:vAlign w:val="bottom"/>
            <w:hideMark/>
          </w:tcPr>
          <w:p w14:paraId="1776DC91"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0.14</w:t>
            </w:r>
          </w:p>
        </w:tc>
        <w:tc>
          <w:tcPr>
            <w:tcW w:w="1059" w:type="dxa"/>
            <w:tcBorders>
              <w:top w:val="nil"/>
              <w:left w:val="nil"/>
              <w:bottom w:val="nil"/>
              <w:right w:val="nil"/>
            </w:tcBorders>
            <w:shd w:val="clear" w:color="auto" w:fill="auto"/>
            <w:noWrap/>
            <w:vAlign w:val="bottom"/>
            <w:hideMark/>
          </w:tcPr>
          <w:p w14:paraId="45F85F06"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13</w:t>
            </w:r>
          </w:p>
        </w:tc>
        <w:tc>
          <w:tcPr>
            <w:tcW w:w="1043" w:type="dxa"/>
            <w:tcBorders>
              <w:top w:val="nil"/>
              <w:left w:val="nil"/>
              <w:bottom w:val="nil"/>
              <w:right w:val="nil"/>
            </w:tcBorders>
            <w:shd w:val="clear" w:color="auto" w:fill="auto"/>
            <w:noWrap/>
            <w:vAlign w:val="bottom"/>
            <w:hideMark/>
          </w:tcPr>
          <w:p w14:paraId="6462336F"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0.20</w:t>
            </w:r>
          </w:p>
        </w:tc>
      </w:tr>
      <w:tr w:rsidR="00C32380" w:rsidRPr="00C32380" w14:paraId="26866702" w14:textId="77777777" w:rsidTr="00C32380">
        <w:trPr>
          <w:trHeight w:val="290"/>
        </w:trPr>
        <w:tc>
          <w:tcPr>
            <w:tcW w:w="1813" w:type="dxa"/>
            <w:tcBorders>
              <w:top w:val="nil"/>
              <w:left w:val="nil"/>
              <w:bottom w:val="nil"/>
              <w:right w:val="nil"/>
            </w:tcBorders>
            <w:shd w:val="clear" w:color="auto" w:fill="auto"/>
            <w:noWrap/>
            <w:vAlign w:val="bottom"/>
            <w:hideMark/>
          </w:tcPr>
          <w:p w14:paraId="04A00A87"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AC08522"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16C023A6"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42456EB"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1275760"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D4FEE31"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3E71B25B" w14:textId="77777777" w:rsidR="00C32380" w:rsidRPr="00C32380" w:rsidRDefault="00C32380" w:rsidP="00C32380">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14:paraId="2AD41DC2" w14:textId="77777777" w:rsidR="00C32380" w:rsidRPr="00C32380" w:rsidRDefault="00C32380" w:rsidP="00C32380">
            <w:pPr>
              <w:spacing w:after="0" w:line="240" w:lineRule="auto"/>
              <w:rPr>
                <w:rFonts w:ascii="Times New Roman" w:eastAsia="Times New Roman" w:hAnsi="Times New Roman" w:cs="Times New Roman"/>
                <w:sz w:val="20"/>
                <w:szCs w:val="20"/>
              </w:rPr>
            </w:pPr>
          </w:p>
        </w:tc>
      </w:tr>
      <w:tr w:rsidR="00C32380" w:rsidRPr="00C32380" w14:paraId="21F9C7BD" w14:textId="77777777" w:rsidTr="00C32380">
        <w:trPr>
          <w:trHeight w:val="290"/>
        </w:trPr>
        <w:tc>
          <w:tcPr>
            <w:tcW w:w="3268" w:type="dxa"/>
            <w:gridSpan w:val="3"/>
            <w:tcBorders>
              <w:top w:val="nil"/>
              <w:left w:val="nil"/>
              <w:bottom w:val="nil"/>
              <w:right w:val="nil"/>
            </w:tcBorders>
            <w:shd w:val="clear" w:color="auto" w:fill="auto"/>
            <w:noWrap/>
            <w:vAlign w:val="bottom"/>
            <w:hideMark/>
          </w:tcPr>
          <w:p w14:paraId="0D2A6ECD" w14:textId="5420FD25" w:rsidR="00C32380" w:rsidRPr="00C32380" w:rsidRDefault="00C32380" w:rsidP="00C32380">
            <w:pPr>
              <w:spacing w:after="0" w:line="240" w:lineRule="auto"/>
              <w:rPr>
                <w:rFonts w:ascii="Calibri" w:eastAsia="Times New Roman" w:hAnsi="Calibri" w:cs="Times New Roman"/>
                <w:color w:val="000000"/>
              </w:rPr>
            </w:pPr>
            <w:r w:rsidRPr="00C32380">
              <w:rPr>
                <w:rFonts w:ascii="Calibri" w:eastAsia="Times New Roman" w:hAnsi="Calibri" w:cs="Times New Roman"/>
                <w:color w:val="000000"/>
              </w:rPr>
              <w:t>EARLY TOWER HAMLETS</w:t>
            </w:r>
            <w:r>
              <w:rPr>
                <w:rFonts w:ascii="Calibri" w:eastAsia="Times New Roman" w:hAnsi="Calibri" w:cs="Times New Roman"/>
                <w:color w:val="000000"/>
              </w:rPr>
              <w:t>*</w:t>
            </w:r>
          </w:p>
        </w:tc>
        <w:tc>
          <w:tcPr>
            <w:tcW w:w="1140" w:type="dxa"/>
            <w:tcBorders>
              <w:top w:val="nil"/>
              <w:left w:val="nil"/>
              <w:bottom w:val="nil"/>
              <w:right w:val="nil"/>
            </w:tcBorders>
            <w:shd w:val="clear" w:color="auto" w:fill="auto"/>
            <w:noWrap/>
            <w:vAlign w:val="bottom"/>
            <w:hideMark/>
          </w:tcPr>
          <w:p w14:paraId="2FE9755B"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60</w:t>
            </w:r>
          </w:p>
        </w:tc>
        <w:tc>
          <w:tcPr>
            <w:tcW w:w="1059" w:type="dxa"/>
            <w:tcBorders>
              <w:top w:val="nil"/>
              <w:left w:val="nil"/>
              <w:bottom w:val="nil"/>
              <w:right w:val="nil"/>
            </w:tcBorders>
            <w:shd w:val="clear" w:color="auto" w:fill="auto"/>
            <w:noWrap/>
            <w:vAlign w:val="bottom"/>
            <w:hideMark/>
          </w:tcPr>
          <w:p w14:paraId="2A47F775"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51</w:t>
            </w:r>
          </w:p>
        </w:tc>
        <w:tc>
          <w:tcPr>
            <w:tcW w:w="1080" w:type="dxa"/>
            <w:tcBorders>
              <w:top w:val="nil"/>
              <w:left w:val="nil"/>
              <w:bottom w:val="nil"/>
              <w:right w:val="nil"/>
            </w:tcBorders>
            <w:shd w:val="clear" w:color="auto" w:fill="auto"/>
            <w:noWrap/>
            <w:vAlign w:val="bottom"/>
            <w:hideMark/>
          </w:tcPr>
          <w:p w14:paraId="25ECFD5A"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0.85</w:t>
            </w:r>
          </w:p>
        </w:tc>
        <w:tc>
          <w:tcPr>
            <w:tcW w:w="1059" w:type="dxa"/>
            <w:tcBorders>
              <w:top w:val="nil"/>
              <w:left w:val="nil"/>
              <w:bottom w:val="nil"/>
              <w:right w:val="nil"/>
            </w:tcBorders>
            <w:shd w:val="clear" w:color="auto" w:fill="auto"/>
            <w:noWrap/>
            <w:vAlign w:val="bottom"/>
            <w:hideMark/>
          </w:tcPr>
          <w:p w14:paraId="0FC021DE"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w:t>
            </w:r>
          </w:p>
        </w:tc>
        <w:tc>
          <w:tcPr>
            <w:tcW w:w="1043" w:type="dxa"/>
            <w:tcBorders>
              <w:top w:val="nil"/>
              <w:left w:val="nil"/>
              <w:bottom w:val="nil"/>
              <w:right w:val="nil"/>
            </w:tcBorders>
            <w:shd w:val="clear" w:color="auto" w:fill="auto"/>
            <w:noWrap/>
            <w:vAlign w:val="bottom"/>
            <w:hideMark/>
          </w:tcPr>
          <w:p w14:paraId="58DFEFA7" w14:textId="77777777" w:rsidR="00C32380" w:rsidRPr="00C32380" w:rsidRDefault="00C32380" w:rsidP="00C32380">
            <w:pPr>
              <w:spacing w:after="0" w:line="240" w:lineRule="auto"/>
              <w:jc w:val="right"/>
              <w:rPr>
                <w:rFonts w:ascii="Calibri" w:eastAsia="Times New Roman" w:hAnsi="Calibri" w:cs="Times New Roman"/>
                <w:color w:val="000000"/>
              </w:rPr>
            </w:pPr>
            <w:r w:rsidRPr="00C32380">
              <w:rPr>
                <w:rFonts w:ascii="Calibri" w:eastAsia="Times New Roman" w:hAnsi="Calibri" w:cs="Times New Roman"/>
                <w:color w:val="000000"/>
              </w:rPr>
              <w:t>0</w:t>
            </w:r>
          </w:p>
        </w:tc>
      </w:tr>
    </w:tbl>
    <w:p w14:paraId="448A8E9E" w14:textId="77777777" w:rsidR="00C32380" w:rsidRDefault="00C32380" w:rsidP="00300980">
      <w:pPr>
        <w:rPr>
          <w:b/>
        </w:rPr>
      </w:pPr>
    </w:p>
    <w:p w14:paraId="0BA5BD28" w14:textId="77E2C2CB" w:rsidR="00C32380" w:rsidRPr="006418B0" w:rsidRDefault="00C32380" w:rsidP="00C32380">
      <w:pPr>
        <w:spacing w:after="0" w:line="240" w:lineRule="auto"/>
        <w:rPr>
          <w:rFonts w:ascii="Calibri" w:eastAsia="Times New Roman" w:hAnsi="Calibri" w:cs="Times New Roman"/>
          <w:color w:val="000000"/>
        </w:rPr>
      </w:pPr>
      <w:r w:rsidRPr="006418B0">
        <w:rPr>
          <w:rFonts w:ascii="Calibri" w:eastAsia="Times New Roman" w:hAnsi="Calibri" w:cs="Times New Roman"/>
          <w:color w:val="000000"/>
        </w:rPr>
        <w:t>* The</w:t>
      </w:r>
      <w:r>
        <w:rPr>
          <w:rFonts w:ascii="Calibri" w:eastAsia="Times New Roman" w:hAnsi="Calibri" w:cs="Times New Roman"/>
          <w:color w:val="000000"/>
        </w:rPr>
        <w:t xml:space="preserve"> entries in this row </w:t>
      </w:r>
      <w:r w:rsidRPr="006418B0">
        <w:rPr>
          <w:rFonts w:ascii="Calibri" w:eastAsia="Times New Roman" w:hAnsi="Calibri" w:cs="Times New Roman"/>
          <w:color w:val="000000"/>
        </w:rPr>
        <w:t>are based on inferences drawn by the authors from Ofsted reports</w:t>
      </w:r>
      <w:r w:rsidR="009131D6">
        <w:rPr>
          <w:rFonts w:ascii="Calibri" w:eastAsia="Times New Roman" w:hAnsi="Calibri" w:cs="Times New Roman"/>
          <w:color w:val="000000"/>
        </w:rPr>
        <w:t xml:space="preserve"> after 1999 and hence are more subject to interpretation than the </w:t>
      </w:r>
      <w:r>
        <w:rPr>
          <w:rFonts w:ascii="Calibri" w:eastAsia="Times New Roman" w:hAnsi="Calibri" w:cs="Times New Roman"/>
          <w:color w:val="000000"/>
        </w:rPr>
        <w:t xml:space="preserve">figures in the rest of the table.    </w:t>
      </w:r>
    </w:p>
    <w:p w14:paraId="1DE98A4A" w14:textId="77777777" w:rsidR="00C32380" w:rsidRDefault="00C32380" w:rsidP="00300980">
      <w:pPr>
        <w:rPr>
          <w:b/>
        </w:rPr>
      </w:pPr>
    </w:p>
    <w:p w14:paraId="17862FD7" w14:textId="2DE79365" w:rsidR="00050646" w:rsidRDefault="00235B48" w:rsidP="00300980">
      <w:r>
        <w:t>The pattern for Hackney indicates that</w:t>
      </w:r>
      <w:r w:rsidR="00477286">
        <w:t xml:space="preserve"> many of the </w:t>
      </w:r>
      <w:r>
        <w:t xml:space="preserve">schools were </w:t>
      </w:r>
      <w:r w:rsidR="00482D4E">
        <w:t xml:space="preserve">of low quality </w:t>
      </w:r>
      <w:r w:rsidR="00E81891">
        <w:t>a</w:t>
      </w:r>
      <w:r>
        <w:t>t the beginning of the period.  Of the schools inspected between 2000 and 2002,</w:t>
      </w:r>
      <w:r w:rsidR="006418B0">
        <w:t xml:space="preserve"> two thirds (65 percent) </w:t>
      </w:r>
      <w:r>
        <w:t xml:space="preserve">were judged to be less than </w:t>
      </w:r>
      <w:r w:rsidR="00E81891">
        <w:t>“</w:t>
      </w:r>
      <w:r>
        <w:t>good</w:t>
      </w:r>
      <w:r w:rsidR="004270EB">
        <w:t>,</w:t>
      </w:r>
      <w:r w:rsidR="00E81891">
        <w:t>”</w:t>
      </w:r>
      <w:r>
        <w:t xml:space="preserve"> </w:t>
      </w:r>
      <w:r w:rsidR="00E81891">
        <w:t xml:space="preserve">meaning they had ratings of satisfactory or inadequate.  </w:t>
      </w:r>
      <w:r w:rsidR="00EE3418">
        <w:t xml:space="preserve">The situation improved </w:t>
      </w:r>
      <w:r w:rsidR="006418B0">
        <w:t>somewhat</w:t>
      </w:r>
      <w:r w:rsidR="00EE3418">
        <w:t xml:space="preserve"> </w:t>
      </w:r>
      <w:r w:rsidR="00E81891">
        <w:t xml:space="preserve">for the </w:t>
      </w:r>
      <w:r w:rsidR="006418B0">
        <w:t xml:space="preserve">40 </w:t>
      </w:r>
      <w:r w:rsidR="00E81891">
        <w:t>inspections during the subsequent 2003-2007 period. Not until after 200</w:t>
      </w:r>
      <w:r w:rsidR="006418B0">
        <w:t>6</w:t>
      </w:r>
      <w:r w:rsidR="00E81891">
        <w:t xml:space="preserve"> do more than half of the inspected schools emerge with ratings of 2 or </w:t>
      </w:r>
      <w:r w:rsidR="00E81891" w:rsidRPr="00050646">
        <w:t xml:space="preserve">better. </w:t>
      </w:r>
      <w:r w:rsidR="00050646">
        <w:t>Hence it is not surprising that student performance in Hackney did not start rising relative to the national average until after 2006.</w:t>
      </w:r>
      <w:r w:rsidR="00632175">
        <w:t xml:space="preserve"> The improvement continued between 2011 and 2014, with the percentage of weak ratings falling to 24 percent. </w:t>
      </w:r>
      <w:r w:rsidR="00050646">
        <w:t xml:space="preserve"> </w:t>
      </w:r>
      <w:r w:rsidR="00E81891" w:rsidRPr="00050646">
        <w:t xml:space="preserve">As of 2010, at about the same time that the primary school </w:t>
      </w:r>
      <w:r w:rsidR="004270EB">
        <w:t xml:space="preserve">pupils </w:t>
      </w:r>
      <w:r w:rsidR="00E81891" w:rsidRPr="00050646">
        <w:t>in Hackney were achieving at close to the national average</w:t>
      </w:r>
      <w:r w:rsidR="004270EB">
        <w:t xml:space="preserve"> on the KS2 tests</w:t>
      </w:r>
      <w:r w:rsidR="00E81891" w:rsidRPr="00050646">
        <w:t xml:space="preserve">, </w:t>
      </w:r>
      <w:r w:rsidR="006418B0">
        <w:t xml:space="preserve">about 70 percent </w:t>
      </w:r>
      <w:r w:rsidR="00E81891" w:rsidRPr="00050646">
        <w:t xml:space="preserve">of the </w:t>
      </w:r>
      <w:r w:rsidR="00050646">
        <w:t xml:space="preserve">primary </w:t>
      </w:r>
      <w:r w:rsidR="00E81891" w:rsidRPr="00050646">
        <w:t>schools were deemed “good” or better</w:t>
      </w:r>
      <w:r w:rsidR="00AB6C10">
        <w:t>,</w:t>
      </w:r>
      <w:r w:rsidR="00E81891" w:rsidRPr="00050646">
        <w:t xml:space="preserve"> and by the end</w:t>
      </w:r>
      <w:r w:rsidR="00E81891">
        <w:t xml:space="preserve"> of 2014, about 92 percent </w:t>
      </w:r>
      <w:r w:rsidR="00050646">
        <w:t xml:space="preserve">met that standard.  We interpret these patterns as being relatively consistent with the observed changes in </w:t>
      </w:r>
      <w:r w:rsidR="004270EB">
        <w:t xml:space="preserve">pupil achievement </w:t>
      </w:r>
      <w:r w:rsidR="00050646">
        <w:t>for Hackney</w:t>
      </w:r>
      <w:r w:rsidR="006418B0">
        <w:t xml:space="preserve"> shown in figure </w:t>
      </w:r>
      <w:r w:rsidR="002C0C70">
        <w:t xml:space="preserve">1 </w:t>
      </w:r>
      <w:r w:rsidR="006418B0">
        <w:t xml:space="preserve">above. </w:t>
      </w:r>
    </w:p>
    <w:p w14:paraId="11E608ED" w14:textId="77777777" w:rsidR="00F4110B" w:rsidRDefault="00050646" w:rsidP="00300980">
      <w:pPr>
        <w:contextualSpacing/>
        <w:rPr>
          <w:rFonts w:cs="Times New Roman"/>
          <w:sz w:val="24"/>
          <w:szCs w:val="24"/>
        </w:rPr>
      </w:pPr>
      <w:r>
        <w:rPr>
          <w:rFonts w:cs="Times New Roman"/>
          <w:sz w:val="24"/>
          <w:szCs w:val="24"/>
        </w:rPr>
        <w:lastRenderedPageBreak/>
        <w:t>The timing of the improvement in school quality looks very different in Tower Hamlets.</w:t>
      </w:r>
      <w:r w:rsidR="00746951">
        <w:rPr>
          <w:rFonts w:cs="Times New Roman"/>
          <w:sz w:val="24"/>
          <w:szCs w:val="24"/>
        </w:rPr>
        <w:t xml:space="preserve"> There</w:t>
      </w:r>
      <w:r w:rsidR="000621C3">
        <w:rPr>
          <w:rFonts w:cs="Times New Roman"/>
          <w:sz w:val="24"/>
          <w:szCs w:val="24"/>
        </w:rPr>
        <w:t xml:space="preserve">, only </w:t>
      </w:r>
      <w:r w:rsidR="005D35D1">
        <w:rPr>
          <w:rFonts w:cs="Times New Roman"/>
          <w:sz w:val="24"/>
          <w:szCs w:val="24"/>
        </w:rPr>
        <w:t xml:space="preserve">20 </w:t>
      </w:r>
      <w:r w:rsidR="000621C3">
        <w:rPr>
          <w:rFonts w:cs="Times New Roman"/>
          <w:sz w:val="24"/>
          <w:szCs w:val="24"/>
        </w:rPr>
        <w:t xml:space="preserve">percent of the schools inspected between </w:t>
      </w:r>
      <w:r w:rsidR="00D27699">
        <w:rPr>
          <w:rFonts w:cs="Times New Roman"/>
          <w:sz w:val="24"/>
          <w:szCs w:val="24"/>
        </w:rPr>
        <w:t xml:space="preserve">2000 and 2002 were rated below good, </w:t>
      </w:r>
      <w:r w:rsidR="00746951">
        <w:rPr>
          <w:rFonts w:cs="Times New Roman"/>
          <w:sz w:val="24"/>
          <w:szCs w:val="24"/>
        </w:rPr>
        <w:t xml:space="preserve">with </w:t>
      </w:r>
      <w:r w:rsidR="00477286">
        <w:rPr>
          <w:rFonts w:cs="Times New Roman"/>
          <w:sz w:val="24"/>
          <w:szCs w:val="24"/>
        </w:rPr>
        <w:t>2</w:t>
      </w:r>
      <w:r w:rsidR="005D35D1">
        <w:rPr>
          <w:rFonts w:cs="Times New Roman"/>
          <w:sz w:val="24"/>
          <w:szCs w:val="24"/>
        </w:rPr>
        <w:t>3</w:t>
      </w:r>
      <w:r w:rsidR="00477286">
        <w:rPr>
          <w:rFonts w:cs="Times New Roman"/>
          <w:sz w:val="24"/>
          <w:szCs w:val="24"/>
        </w:rPr>
        <w:t xml:space="preserve"> percent rated as outstanding. Although the number of weak ratings as a share of the total inspections </w:t>
      </w:r>
      <w:r w:rsidR="007D752E">
        <w:rPr>
          <w:rFonts w:cs="Times New Roman"/>
          <w:sz w:val="24"/>
          <w:szCs w:val="24"/>
        </w:rPr>
        <w:t xml:space="preserve">(presumably based on a different set of schools) </w:t>
      </w:r>
      <w:r w:rsidR="00477286">
        <w:rPr>
          <w:rFonts w:cs="Times New Roman"/>
          <w:sz w:val="24"/>
          <w:szCs w:val="24"/>
        </w:rPr>
        <w:t>increased to 33 percent between 2003 and 2006, that percentage is still far below the percentage of weak schools in Hackney during th</w:t>
      </w:r>
      <w:r w:rsidR="00F80396">
        <w:rPr>
          <w:rFonts w:cs="Times New Roman"/>
          <w:sz w:val="24"/>
          <w:szCs w:val="24"/>
        </w:rPr>
        <w:t xml:space="preserve">e comparable </w:t>
      </w:r>
      <w:r w:rsidR="00477286">
        <w:rPr>
          <w:rFonts w:cs="Times New Roman"/>
          <w:sz w:val="24"/>
          <w:szCs w:val="24"/>
        </w:rPr>
        <w:t xml:space="preserve">period.  The point is that throughout the period </w:t>
      </w:r>
      <w:r w:rsidR="000A23F3">
        <w:rPr>
          <w:rFonts w:cs="Times New Roman"/>
          <w:sz w:val="24"/>
          <w:szCs w:val="24"/>
        </w:rPr>
        <w:t xml:space="preserve">before 2007 </w:t>
      </w:r>
      <w:r w:rsidR="00F4110B">
        <w:rPr>
          <w:rFonts w:cs="Times New Roman"/>
          <w:sz w:val="24"/>
          <w:szCs w:val="24"/>
        </w:rPr>
        <w:t xml:space="preserve">reported in the </w:t>
      </w:r>
      <w:r w:rsidR="002C0C70">
        <w:rPr>
          <w:rFonts w:cs="Times New Roman"/>
          <w:sz w:val="24"/>
          <w:szCs w:val="24"/>
        </w:rPr>
        <w:t>main part of the table</w:t>
      </w:r>
      <w:r w:rsidR="00477286">
        <w:rPr>
          <w:rFonts w:cs="Times New Roman"/>
          <w:sz w:val="24"/>
          <w:szCs w:val="24"/>
        </w:rPr>
        <w:t xml:space="preserve">, the primary schools in Tower Hamlets were </w:t>
      </w:r>
      <w:r w:rsidR="000A23F3">
        <w:rPr>
          <w:rFonts w:cs="Times New Roman"/>
          <w:sz w:val="24"/>
          <w:szCs w:val="24"/>
        </w:rPr>
        <w:t xml:space="preserve">far </w:t>
      </w:r>
      <w:r w:rsidR="00477286">
        <w:rPr>
          <w:rFonts w:cs="Times New Roman"/>
          <w:sz w:val="24"/>
          <w:szCs w:val="24"/>
        </w:rPr>
        <w:t xml:space="preserve">stronger than those in Hackney. </w:t>
      </w:r>
      <w:r w:rsidR="00C21510">
        <w:rPr>
          <w:rFonts w:cs="Times New Roman"/>
          <w:sz w:val="24"/>
          <w:szCs w:val="24"/>
        </w:rPr>
        <w:t xml:space="preserve"> </w:t>
      </w:r>
      <w:r w:rsidR="005B7286">
        <w:rPr>
          <w:rFonts w:cs="Times New Roman"/>
          <w:sz w:val="24"/>
          <w:szCs w:val="24"/>
        </w:rPr>
        <w:t>M</w:t>
      </w:r>
      <w:r w:rsidR="00F4110B">
        <w:rPr>
          <w:rFonts w:cs="Times New Roman"/>
          <w:sz w:val="24"/>
          <w:szCs w:val="24"/>
        </w:rPr>
        <w:t>o</w:t>
      </w:r>
      <w:r w:rsidR="005D35D1">
        <w:rPr>
          <w:rFonts w:cs="Times New Roman"/>
          <w:sz w:val="24"/>
          <w:szCs w:val="24"/>
        </w:rPr>
        <w:t>st</w:t>
      </w:r>
      <w:r w:rsidR="00F4110B">
        <w:rPr>
          <w:rFonts w:cs="Times New Roman"/>
          <w:sz w:val="24"/>
          <w:szCs w:val="24"/>
        </w:rPr>
        <w:t xml:space="preserve"> compelling</w:t>
      </w:r>
      <w:r w:rsidR="005D35D1">
        <w:rPr>
          <w:rFonts w:cs="Times New Roman"/>
          <w:sz w:val="24"/>
          <w:szCs w:val="24"/>
        </w:rPr>
        <w:t xml:space="preserve"> </w:t>
      </w:r>
      <w:r w:rsidR="00C21510">
        <w:rPr>
          <w:rFonts w:cs="Times New Roman"/>
          <w:sz w:val="24"/>
          <w:szCs w:val="24"/>
        </w:rPr>
        <w:t xml:space="preserve">is the rapid improvement in school quality in Tower Hamlets between the late 1990s and the early </w:t>
      </w:r>
      <w:r w:rsidR="00F4110B">
        <w:rPr>
          <w:rFonts w:cs="Times New Roman"/>
          <w:sz w:val="24"/>
          <w:szCs w:val="24"/>
        </w:rPr>
        <w:t>2000s</w:t>
      </w:r>
      <w:r w:rsidR="005D35D1">
        <w:rPr>
          <w:rFonts w:cs="Times New Roman"/>
          <w:sz w:val="24"/>
          <w:szCs w:val="24"/>
        </w:rPr>
        <w:t xml:space="preserve">, which is indicated separately by the information at the bottom of the table.  </w:t>
      </w:r>
      <w:r w:rsidR="00F4110B">
        <w:rPr>
          <w:rFonts w:cs="Times New Roman"/>
          <w:sz w:val="24"/>
          <w:szCs w:val="24"/>
        </w:rPr>
        <w:t xml:space="preserve"> Based on the wording in the reports </w:t>
      </w:r>
      <w:r w:rsidR="002C0C70">
        <w:rPr>
          <w:rFonts w:cs="Times New Roman"/>
          <w:sz w:val="24"/>
          <w:szCs w:val="24"/>
        </w:rPr>
        <w:t xml:space="preserve">after 2000, all of which refer back to prior reports </w:t>
      </w:r>
      <w:r w:rsidR="00F4110B">
        <w:rPr>
          <w:rFonts w:cs="Times New Roman"/>
          <w:sz w:val="24"/>
          <w:szCs w:val="24"/>
        </w:rPr>
        <w:t xml:space="preserve">we estimate that well over </w:t>
      </w:r>
      <w:r w:rsidR="005D35D1">
        <w:rPr>
          <w:rFonts w:cs="Times New Roman"/>
          <w:sz w:val="24"/>
          <w:szCs w:val="24"/>
        </w:rPr>
        <w:t>50 schools</w:t>
      </w:r>
      <w:r w:rsidR="00F4110B">
        <w:rPr>
          <w:rFonts w:cs="Times New Roman"/>
          <w:sz w:val="24"/>
          <w:szCs w:val="24"/>
        </w:rPr>
        <w:t xml:space="preserve"> – about </w:t>
      </w:r>
      <w:r w:rsidR="005D35D1">
        <w:rPr>
          <w:rFonts w:cs="Times New Roman"/>
          <w:sz w:val="24"/>
          <w:szCs w:val="24"/>
        </w:rPr>
        <w:t xml:space="preserve">85 percent </w:t>
      </w:r>
      <w:r w:rsidR="00F4110B">
        <w:rPr>
          <w:rFonts w:cs="Times New Roman"/>
          <w:sz w:val="24"/>
          <w:szCs w:val="24"/>
        </w:rPr>
        <w:t>of all the primary schools – had a rating of 3 or below during the</w:t>
      </w:r>
      <w:r w:rsidR="005B7286">
        <w:rPr>
          <w:rFonts w:cs="Times New Roman"/>
          <w:sz w:val="24"/>
          <w:szCs w:val="24"/>
        </w:rPr>
        <w:t xml:space="preserve">ir </w:t>
      </w:r>
      <w:r w:rsidR="00F4110B">
        <w:rPr>
          <w:rFonts w:cs="Times New Roman"/>
          <w:sz w:val="24"/>
          <w:szCs w:val="24"/>
        </w:rPr>
        <w:t>prior inspection</w:t>
      </w:r>
      <w:r w:rsidR="005B7286">
        <w:rPr>
          <w:rFonts w:cs="Times New Roman"/>
          <w:sz w:val="24"/>
          <w:szCs w:val="24"/>
        </w:rPr>
        <w:t>s</w:t>
      </w:r>
      <w:r w:rsidR="00F4110B">
        <w:rPr>
          <w:rFonts w:cs="Times New Roman"/>
          <w:sz w:val="24"/>
          <w:szCs w:val="24"/>
        </w:rPr>
        <w:t>, and that a number of the</w:t>
      </w:r>
      <w:r w:rsidR="00746951">
        <w:rPr>
          <w:rFonts w:cs="Times New Roman"/>
          <w:sz w:val="24"/>
          <w:szCs w:val="24"/>
        </w:rPr>
        <w:t xml:space="preserve"> schools had serious problems. </w:t>
      </w:r>
      <w:r w:rsidR="002C0C70">
        <w:rPr>
          <w:rFonts w:cs="Times New Roman"/>
          <w:sz w:val="24"/>
          <w:szCs w:val="24"/>
        </w:rPr>
        <w:t xml:space="preserve">Hence, there appears to have been </w:t>
      </w:r>
      <w:r w:rsidR="005D35D1">
        <w:rPr>
          <w:rFonts w:cs="Times New Roman"/>
          <w:sz w:val="24"/>
          <w:szCs w:val="24"/>
        </w:rPr>
        <w:t>a dram</w:t>
      </w:r>
      <w:r w:rsidR="00741CD9">
        <w:rPr>
          <w:rFonts w:cs="Times New Roman"/>
          <w:sz w:val="24"/>
          <w:szCs w:val="24"/>
        </w:rPr>
        <w:t>a</w:t>
      </w:r>
      <w:r w:rsidR="005D35D1">
        <w:rPr>
          <w:rFonts w:cs="Times New Roman"/>
          <w:sz w:val="24"/>
          <w:szCs w:val="24"/>
        </w:rPr>
        <w:t xml:space="preserve">tic </w:t>
      </w:r>
      <w:r w:rsidR="00F4110B">
        <w:rPr>
          <w:rFonts w:cs="Times New Roman"/>
          <w:sz w:val="24"/>
          <w:szCs w:val="24"/>
        </w:rPr>
        <w:t xml:space="preserve">improvement in school quality </w:t>
      </w:r>
      <w:r w:rsidR="000A23F3">
        <w:rPr>
          <w:rFonts w:cs="Times New Roman"/>
          <w:sz w:val="24"/>
          <w:szCs w:val="24"/>
        </w:rPr>
        <w:t xml:space="preserve">in Hamlets </w:t>
      </w:r>
      <w:r w:rsidR="00F4110B">
        <w:rPr>
          <w:rFonts w:cs="Times New Roman"/>
          <w:sz w:val="24"/>
          <w:szCs w:val="24"/>
        </w:rPr>
        <w:t>between the late 1990s and the early 2000s</w:t>
      </w:r>
      <w:r w:rsidR="005D35D1">
        <w:rPr>
          <w:rFonts w:cs="Times New Roman"/>
          <w:sz w:val="24"/>
          <w:szCs w:val="24"/>
        </w:rPr>
        <w:t xml:space="preserve">, a pattern that is </w:t>
      </w:r>
      <w:r w:rsidR="00F4110B">
        <w:rPr>
          <w:rFonts w:cs="Times New Roman"/>
          <w:sz w:val="24"/>
          <w:szCs w:val="24"/>
        </w:rPr>
        <w:t xml:space="preserve">fully consistent with the rise in student achievement during that early period.  </w:t>
      </w:r>
    </w:p>
    <w:p w14:paraId="40F119F4" w14:textId="77777777" w:rsidR="00DF5403" w:rsidRDefault="00DF5403" w:rsidP="00300980">
      <w:pPr>
        <w:contextualSpacing/>
        <w:rPr>
          <w:rFonts w:cs="Times New Roman"/>
          <w:sz w:val="24"/>
          <w:szCs w:val="24"/>
        </w:rPr>
      </w:pPr>
    </w:p>
    <w:p w14:paraId="7C7D85C5" w14:textId="782F1549" w:rsidR="00AA2279" w:rsidRDefault="00B37BBC" w:rsidP="00300980">
      <w:pPr>
        <w:contextualSpacing/>
        <w:rPr>
          <w:rFonts w:cs="Times New Roman"/>
          <w:sz w:val="24"/>
          <w:szCs w:val="24"/>
        </w:rPr>
      </w:pPr>
      <w:r>
        <w:rPr>
          <w:rFonts w:cs="Times New Roman"/>
          <w:b/>
          <w:i/>
          <w:sz w:val="24"/>
          <w:szCs w:val="24"/>
          <w:u w:val="single"/>
        </w:rPr>
        <w:t>Summary Observations:</w:t>
      </w:r>
      <w:r>
        <w:rPr>
          <w:rFonts w:cs="Times New Roman"/>
          <w:sz w:val="24"/>
          <w:szCs w:val="24"/>
        </w:rPr>
        <w:t xml:space="preserve"> </w:t>
      </w:r>
      <w:r w:rsidR="007C1A0F">
        <w:rPr>
          <w:rFonts w:cs="Times New Roman"/>
          <w:sz w:val="24"/>
          <w:szCs w:val="24"/>
        </w:rPr>
        <w:t xml:space="preserve"> </w:t>
      </w:r>
      <w:r w:rsidR="005D35D1">
        <w:rPr>
          <w:rFonts w:cs="Times New Roman"/>
          <w:sz w:val="24"/>
          <w:szCs w:val="24"/>
        </w:rPr>
        <w:t xml:space="preserve">The evidence presented so far confirms that </w:t>
      </w:r>
      <w:r w:rsidR="007C1A0F">
        <w:rPr>
          <w:rFonts w:cs="Times New Roman"/>
          <w:sz w:val="24"/>
          <w:szCs w:val="24"/>
        </w:rPr>
        <w:t xml:space="preserve">there was indeed a London Effect </w:t>
      </w:r>
      <w:r w:rsidR="00850690">
        <w:rPr>
          <w:rFonts w:cs="Times New Roman"/>
          <w:sz w:val="24"/>
          <w:szCs w:val="24"/>
        </w:rPr>
        <w:t xml:space="preserve">on achievement </w:t>
      </w:r>
      <w:r w:rsidR="005D35D1">
        <w:rPr>
          <w:rFonts w:cs="Times New Roman"/>
          <w:sz w:val="24"/>
          <w:szCs w:val="24"/>
        </w:rPr>
        <w:t xml:space="preserve">as measured by increases in test scores at the primary level </w:t>
      </w:r>
      <w:r w:rsidR="002F47C9">
        <w:rPr>
          <w:rFonts w:cs="Times New Roman"/>
          <w:sz w:val="24"/>
          <w:szCs w:val="24"/>
        </w:rPr>
        <w:t>in these two Inner London boroughs</w:t>
      </w:r>
      <w:r w:rsidR="005D35D1">
        <w:rPr>
          <w:rFonts w:cs="Times New Roman"/>
          <w:sz w:val="24"/>
          <w:szCs w:val="24"/>
        </w:rPr>
        <w:t xml:space="preserve">. </w:t>
      </w:r>
      <w:r w:rsidR="002F47C9">
        <w:rPr>
          <w:rFonts w:cs="Times New Roman"/>
          <w:sz w:val="24"/>
          <w:szCs w:val="24"/>
        </w:rPr>
        <w:t xml:space="preserve"> </w:t>
      </w:r>
      <w:r w:rsidR="005D35D1">
        <w:rPr>
          <w:rFonts w:cs="Times New Roman"/>
          <w:sz w:val="24"/>
          <w:szCs w:val="24"/>
        </w:rPr>
        <w:t xml:space="preserve">In addition, it </w:t>
      </w:r>
      <w:r w:rsidR="00BF657D">
        <w:rPr>
          <w:rFonts w:cs="Times New Roman"/>
          <w:sz w:val="24"/>
          <w:szCs w:val="24"/>
        </w:rPr>
        <w:t xml:space="preserve">indicates </w:t>
      </w:r>
      <w:r w:rsidR="005D35D1">
        <w:rPr>
          <w:rFonts w:cs="Times New Roman"/>
          <w:sz w:val="24"/>
          <w:szCs w:val="24"/>
        </w:rPr>
        <w:t>that</w:t>
      </w:r>
      <w:r w:rsidR="002F47C9">
        <w:rPr>
          <w:rFonts w:cs="Times New Roman"/>
          <w:sz w:val="24"/>
          <w:szCs w:val="24"/>
        </w:rPr>
        <w:t xml:space="preserve"> while some </w:t>
      </w:r>
      <w:r w:rsidR="00850690">
        <w:rPr>
          <w:rFonts w:cs="Times New Roman"/>
          <w:sz w:val="24"/>
          <w:szCs w:val="24"/>
        </w:rPr>
        <w:t xml:space="preserve">demographic or other contextual changes may have played </w:t>
      </w:r>
      <w:r w:rsidR="005D35D1">
        <w:rPr>
          <w:rFonts w:cs="Times New Roman"/>
          <w:sz w:val="24"/>
          <w:szCs w:val="24"/>
        </w:rPr>
        <w:t xml:space="preserve">some role in the achievement gains, </w:t>
      </w:r>
      <w:r w:rsidR="009131D6">
        <w:rPr>
          <w:rFonts w:cs="Times New Roman"/>
          <w:sz w:val="24"/>
          <w:szCs w:val="24"/>
        </w:rPr>
        <w:t xml:space="preserve">it is also the case </w:t>
      </w:r>
      <w:r w:rsidR="00850690">
        <w:rPr>
          <w:rFonts w:cs="Times New Roman"/>
          <w:sz w:val="24"/>
          <w:szCs w:val="24"/>
        </w:rPr>
        <w:t xml:space="preserve">– as shown </w:t>
      </w:r>
      <w:r w:rsidR="009131D6">
        <w:rPr>
          <w:rFonts w:cs="Times New Roman"/>
          <w:sz w:val="24"/>
          <w:szCs w:val="24"/>
        </w:rPr>
        <w:t xml:space="preserve">in </w:t>
      </w:r>
      <w:r w:rsidR="001E40FE">
        <w:rPr>
          <w:rFonts w:cs="Times New Roman"/>
          <w:sz w:val="24"/>
          <w:szCs w:val="24"/>
        </w:rPr>
        <w:t>t</w:t>
      </w:r>
      <w:r w:rsidR="00BF657D">
        <w:rPr>
          <w:rFonts w:cs="Times New Roman"/>
          <w:sz w:val="24"/>
          <w:szCs w:val="24"/>
        </w:rPr>
        <w:t xml:space="preserve">he </w:t>
      </w:r>
      <w:r w:rsidR="00850690">
        <w:rPr>
          <w:rFonts w:cs="Times New Roman"/>
          <w:sz w:val="24"/>
          <w:szCs w:val="24"/>
        </w:rPr>
        <w:t xml:space="preserve">numerous Ofsted reports– </w:t>
      </w:r>
      <w:r w:rsidR="00D62F79">
        <w:rPr>
          <w:rFonts w:cs="Times New Roman"/>
          <w:sz w:val="24"/>
          <w:szCs w:val="24"/>
        </w:rPr>
        <w:t xml:space="preserve">is that the </w:t>
      </w:r>
      <w:r w:rsidR="005D35D1">
        <w:rPr>
          <w:rFonts w:cs="Times New Roman"/>
          <w:sz w:val="24"/>
          <w:szCs w:val="24"/>
        </w:rPr>
        <w:t>quality of the primary schools i</w:t>
      </w:r>
      <w:r w:rsidR="00BF657D">
        <w:rPr>
          <w:rFonts w:cs="Times New Roman"/>
          <w:sz w:val="24"/>
          <w:szCs w:val="24"/>
        </w:rPr>
        <w:t>mproved s</w:t>
      </w:r>
      <w:r w:rsidR="005D35D1">
        <w:rPr>
          <w:rFonts w:cs="Times New Roman"/>
          <w:sz w:val="24"/>
          <w:szCs w:val="24"/>
        </w:rPr>
        <w:t>ignificantly</w:t>
      </w:r>
      <w:r w:rsidR="00850690">
        <w:rPr>
          <w:rFonts w:cs="Times New Roman"/>
          <w:sz w:val="24"/>
          <w:szCs w:val="24"/>
        </w:rPr>
        <w:t xml:space="preserve"> </w:t>
      </w:r>
      <w:r w:rsidR="00BF657D">
        <w:rPr>
          <w:rFonts w:cs="Times New Roman"/>
          <w:sz w:val="24"/>
          <w:szCs w:val="24"/>
        </w:rPr>
        <w:t xml:space="preserve">over time </w:t>
      </w:r>
      <w:r w:rsidR="00850690">
        <w:rPr>
          <w:rFonts w:cs="Times New Roman"/>
          <w:sz w:val="24"/>
          <w:szCs w:val="24"/>
        </w:rPr>
        <w:t xml:space="preserve">in </w:t>
      </w:r>
      <w:r w:rsidR="00BF657D">
        <w:rPr>
          <w:rFonts w:cs="Times New Roman"/>
          <w:sz w:val="24"/>
          <w:szCs w:val="24"/>
        </w:rPr>
        <w:t xml:space="preserve">both </w:t>
      </w:r>
      <w:r w:rsidR="00850690">
        <w:rPr>
          <w:rFonts w:cs="Times New Roman"/>
          <w:sz w:val="24"/>
          <w:szCs w:val="24"/>
        </w:rPr>
        <w:t xml:space="preserve">boroughs. </w:t>
      </w:r>
      <w:r w:rsidR="00AA2279">
        <w:rPr>
          <w:rFonts w:cs="Times New Roman"/>
          <w:sz w:val="24"/>
          <w:szCs w:val="24"/>
        </w:rPr>
        <w:t>We no</w:t>
      </w:r>
      <w:r w:rsidR="00BF657D">
        <w:rPr>
          <w:rFonts w:cs="Times New Roman"/>
          <w:sz w:val="24"/>
          <w:szCs w:val="24"/>
        </w:rPr>
        <w:t>w turn to the question of what policies and practices at the borough and school level</w:t>
      </w:r>
      <w:r w:rsidR="005A5616">
        <w:rPr>
          <w:rFonts w:cs="Times New Roman"/>
          <w:sz w:val="24"/>
          <w:szCs w:val="24"/>
        </w:rPr>
        <w:t>s</w:t>
      </w:r>
      <w:r w:rsidR="00BF657D">
        <w:rPr>
          <w:rFonts w:cs="Times New Roman"/>
          <w:sz w:val="24"/>
          <w:szCs w:val="24"/>
        </w:rPr>
        <w:t xml:space="preserve"> </w:t>
      </w:r>
      <w:r w:rsidR="00FB1DC0">
        <w:rPr>
          <w:rFonts w:cs="Times New Roman"/>
          <w:sz w:val="24"/>
          <w:szCs w:val="24"/>
        </w:rPr>
        <w:t xml:space="preserve">contributed to </w:t>
      </w:r>
      <w:r w:rsidR="00BF657D">
        <w:rPr>
          <w:rFonts w:cs="Times New Roman"/>
          <w:sz w:val="24"/>
          <w:szCs w:val="24"/>
        </w:rPr>
        <w:t xml:space="preserve">the </w:t>
      </w:r>
      <w:r w:rsidR="00D62F79">
        <w:rPr>
          <w:rFonts w:cs="Times New Roman"/>
          <w:sz w:val="24"/>
          <w:szCs w:val="24"/>
        </w:rPr>
        <w:t xml:space="preserve">better </w:t>
      </w:r>
      <w:r w:rsidR="005A5616">
        <w:rPr>
          <w:rFonts w:cs="Times New Roman"/>
          <w:sz w:val="24"/>
          <w:szCs w:val="24"/>
        </w:rPr>
        <w:t xml:space="preserve">schools </w:t>
      </w:r>
      <w:r w:rsidR="00BF657D">
        <w:rPr>
          <w:rFonts w:cs="Times New Roman"/>
          <w:sz w:val="24"/>
          <w:szCs w:val="24"/>
        </w:rPr>
        <w:t xml:space="preserve">and higher </w:t>
      </w:r>
      <w:r w:rsidR="00FB1DC0">
        <w:rPr>
          <w:rFonts w:cs="Times New Roman"/>
          <w:sz w:val="24"/>
          <w:szCs w:val="24"/>
        </w:rPr>
        <w:t>student performance</w:t>
      </w:r>
      <w:r w:rsidR="00BF657D">
        <w:rPr>
          <w:rFonts w:cs="Times New Roman"/>
          <w:sz w:val="24"/>
          <w:szCs w:val="24"/>
        </w:rPr>
        <w:t xml:space="preserve">. </w:t>
      </w:r>
    </w:p>
    <w:p w14:paraId="7681D87D" w14:textId="77777777" w:rsidR="00F6528A" w:rsidRDefault="00F6528A" w:rsidP="00F6528A">
      <w:pPr>
        <w:contextualSpacing/>
        <w:rPr>
          <w:b/>
          <w:sz w:val="24"/>
          <w:szCs w:val="24"/>
        </w:rPr>
      </w:pPr>
    </w:p>
    <w:p w14:paraId="6E5B3269" w14:textId="77777777" w:rsidR="00F6528A" w:rsidRPr="00D4071A" w:rsidRDefault="00F6528A" w:rsidP="00F6528A">
      <w:pPr>
        <w:contextualSpacing/>
        <w:rPr>
          <w:b/>
          <w:sz w:val="32"/>
          <w:szCs w:val="32"/>
        </w:rPr>
      </w:pPr>
      <w:r>
        <w:rPr>
          <w:b/>
          <w:sz w:val="32"/>
          <w:szCs w:val="32"/>
        </w:rPr>
        <w:t>Local policy e</w:t>
      </w:r>
      <w:r w:rsidRPr="00D4071A">
        <w:rPr>
          <w:b/>
          <w:sz w:val="32"/>
          <w:szCs w:val="32"/>
        </w:rPr>
        <w:t>xplanations</w:t>
      </w:r>
      <w:r>
        <w:rPr>
          <w:b/>
          <w:sz w:val="32"/>
          <w:szCs w:val="32"/>
        </w:rPr>
        <w:t xml:space="preserve"> for school improvement</w:t>
      </w:r>
    </w:p>
    <w:p w14:paraId="3BA9E1DA" w14:textId="71A64929" w:rsidR="00F6528A" w:rsidRPr="004A1BD7" w:rsidRDefault="00753893" w:rsidP="00753893">
      <w:pPr>
        <w:tabs>
          <w:tab w:val="left" w:pos="3890"/>
        </w:tabs>
        <w:contextualSpacing/>
        <w:rPr>
          <w:sz w:val="32"/>
          <w:szCs w:val="32"/>
        </w:rPr>
      </w:pPr>
      <w:r>
        <w:rPr>
          <w:sz w:val="32"/>
          <w:szCs w:val="32"/>
        </w:rPr>
        <w:tab/>
      </w:r>
    </w:p>
    <w:p w14:paraId="7F4A3DD6" w14:textId="1B7FD71E" w:rsidR="00F6528A" w:rsidRDefault="00F6528A" w:rsidP="00F6528A">
      <w:pPr>
        <w:contextualSpacing/>
        <w:rPr>
          <w:rFonts w:cs="Times New Roman"/>
          <w:sz w:val="24"/>
          <w:szCs w:val="24"/>
        </w:rPr>
      </w:pPr>
      <w:r>
        <w:rPr>
          <w:rFonts w:cs="Times New Roman"/>
          <w:sz w:val="24"/>
          <w:szCs w:val="24"/>
        </w:rPr>
        <w:t>In 2014, the CfBT Education Trust, a charitable organization devoted to global school reform, published an in-depth study of the London Effect.  In the words of Steve Munby, its chief executive: “</w:t>
      </w:r>
      <w:r w:rsidRPr="003002B2">
        <w:rPr>
          <w:rFonts w:cs="Times New Roman"/>
          <w:sz w:val="24"/>
          <w:szCs w:val="24"/>
        </w:rPr>
        <w:t>T</w:t>
      </w:r>
      <w:r>
        <w:rPr>
          <w:rFonts w:cs="Times New Roman"/>
          <w:sz w:val="24"/>
          <w:szCs w:val="24"/>
        </w:rPr>
        <w:t>he London story is above all about the power of purposeful leadership at every level of the system. From national politicians to headteachers, leaders were responsible for driving the changes.” (CfBT, 2014 p. 2) We provide evidence in this section that supports this assertion for Hackney and Tower Hamlets.  Specifically</w:t>
      </w:r>
      <w:r w:rsidR="001E40FE">
        <w:rPr>
          <w:rFonts w:cs="Times New Roman"/>
          <w:sz w:val="24"/>
          <w:szCs w:val="24"/>
        </w:rPr>
        <w:t>,</w:t>
      </w:r>
      <w:r>
        <w:rPr>
          <w:rFonts w:cs="Times New Roman"/>
          <w:sz w:val="24"/>
          <w:szCs w:val="24"/>
        </w:rPr>
        <w:t xml:space="preserve"> we show how strong leadership at the borough level, driven by a community wide shared vision of what was needed to improve education, helps to explain the improvement in schools in both boroughs. </w:t>
      </w:r>
    </w:p>
    <w:p w14:paraId="5E332C2F" w14:textId="77777777" w:rsidR="0024570B" w:rsidRDefault="0024570B" w:rsidP="00F6528A">
      <w:pPr>
        <w:contextualSpacing/>
        <w:rPr>
          <w:rFonts w:cs="Times New Roman"/>
          <w:sz w:val="24"/>
          <w:szCs w:val="24"/>
        </w:rPr>
      </w:pPr>
    </w:p>
    <w:p w14:paraId="76F6C229" w14:textId="126C53D2" w:rsidR="0024570B" w:rsidRDefault="00CC74F2" w:rsidP="00F6528A">
      <w:pPr>
        <w:contextualSpacing/>
        <w:rPr>
          <w:rFonts w:cs="Times New Roman"/>
          <w:sz w:val="24"/>
          <w:szCs w:val="24"/>
        </w:rPr>
      </w:pPr>
      <w:r>
        <w:rPr>
          <w:rFonts w:cs="Times New Roman"/>
          <w:sz w:val="24"/>
          <w:szCs w:val="24"/>
        </w:rPr>
        <w:lastRenderedPageBreak/>
        <w:t xml:space="preserve">We base our discussion on </w:t>
      </w:r>
      <w:r w:rsidR="00160CEC">
        <w:rPr>
          <w:rFonts w:cs="Times New Roman"/>
          <w:sz w:val="24"/>
          <w:szCs w:val="24"/>
        </w:rPr>
        <w:t>information gleaned f</w:t>
      </w:r>
      <w:r>
        <w:rPr>
          <w:rFonts w:cs="Times New Roman"/>
          <w:sz w:val="24"/>
          <w:szCs w:val="24"/>
        </w:rPr>
        <w:t xml:space="preserve">rom </w:t>
      </w:r>
      <w:r w:rsidR="007C42D2">
        <w:rPr>
          <w:rFonts w:cs="Times New Roman"/>
          <w:sz w:val="24"/>
          <w:szCs w:val="24"/>
        </w:rPr>
        <w:t xml:space="preserve">several </w:t>
      </w:r>
      <w:r>
        <w:rPr>
          <w:rFonts w:cs="Times New Roman"/>
          <w:sz w:val="24"/>
          <w:szCs w:val="24"/>
        </w:rPr>
        <w:t xml:space="preserve">sources. </w:t>
      </w:r>
      <w:r w:rsidR="007C42D2">
        <w:rPr>
          <w:rFonts w:cs="Times New Roman"/>
          <w:sz w:val="24"/>
          <w:szCs w:val="24"/>
        </w:rPr>
        <w:t xml:space="preserve">We </w:t>
      </w:r>
      <w:r>
        <w:rPr>
          <w:rFonts w:cs="Times New Roman"/>
          <w:sz w:val="24"/>
          <w:szCs w:val="24"/>
        </w:rPr>
        <w:t xml:space="preserve">conducted interviews with the key policy makers who </w:t>
      </w:r>
      <w:r w:rsidR="009131D6">
        <w:rPr>
          <w:rFonts w:cs="Times New Roman"/>
          <w:sz w:val="24"/>
          <w:szCs w:val="24"/>
        </w:rPr>
        <w:t xml:space="preserve">were </w:t>
      </w:r>
      <w:r w:rsidR="00DE0198">
        <w:rPr>
          <w:rFonts w:cs="Times New Roman"/>
          <w:sz w:val="24"/>
          <w:szCs w:val="24"/>
        </w:rPr>
        <w:t xml:space="preserve">responsible for </w:t>
      </w:r>
      <w:r>
        <w:rPr>
          <w:rFonts w:cs="Times New Roman"/>
          <w:sz w:val="24"/>
          <w:szCs w:val="24"/>
        </w:rPr>
        <w:t xml:space="preserve">designing and implementing the </w:t>
      </w:r>
      <w:r w:rsidR="00676030">
        <w:rPr>
          <w:rFonts w:cs="Times New Roman"/>
          <w:sz w:val="24"/>
          <w:szCs w:val="24"/>
        </w:rPr>
        <w:t xml:space="preserve">initial </w:t>
      </w:r>
      <w:r>
        <w:rPr>
          <w:rFonts w:cs="Times New Roman"/>
          <w:sz w:val="24"/>
          <w:szCs w:val="24"/>
        </w:rPr>
        <w:t>school reform</w:t>
      </w:r>
      <w:r w:rsidR="00676030">
        <w:rPr>
          <w:rFonts w:cs="Times New Roman"/>
          <w:sz w:val="24"/>
          <w:szCs w:val="24"/>
        </w:rPr>
        <w:t xml:space="preserve"> efforts </w:t>
      </w:r>
      <w:r>
        <w:rPr>
          <w:rFonts w:cs="Times New Roman"/>
          <w:sz w:val="24"/>
          <w:szCs w:val="24"/>
        </w:rPr>
        <w:t>in each of the two boroughs</w:t>
      </w:r>
      <w:r w:rsidR="00676030">
        <w:rPr>
          <w:rFonts w:cs="Times New Roman"/>
          <w:sz w:val="24"/>
          <w:szCs w:val="24"/>
        </w:rPr>
        <w:t xml:space="preserve">, as well as with current leaders in both boroughs. </w:t>
      </w:r>
      <w:r>
        <w:rPr>
          <w:rFonts w:cs="Times New Roman"/>
          <w:sz w:val="24"/>
          <w:szCs w:val="24"/>
        </w:rPr>
        <w:t xml:space="preserve">We also visited some primary schools and spoke with headteachers and others </w:t>
      </w:r>
      <w:r w:rsidR="00676030">
        <w:rPr>
          <w:rFonts w:cs="Times New Roman"/>
          <w:sz w:val="24"/>
          <w:szCs w:val="24"/>
        </w:rPr>
        <w:t xml:space="preserve">to learn about past and </w:t>
      </w:r>
      <w:r>
        <w:rPr>
          <w:rFonts w:cs="Times New Roman"/>
          <w:sz w:val="24"/>
          <w:szCs w:val="24"/>
        </w:rPr>
        <w:t>current p</w:t>
      </w:r>
      <w:r w:rsidR="00676030">
        <w:rPr>
          <w:rFonts w:cs="Times New Roman"/>
          <w:sz w:val="24"/>
          <w:szCs w:val="24"/>
        </w:rPr>
        <w:t>ractices at the school level</w:t>
      </w:r>
      <w:r w:rsidR="00753893">
        <w:rPr>
          <w:rFonts w:cs="Times New Roman"/>
          <w:sz w:val="24"/>
          <w:szCs w:val="24"/>
        </w:rPr>
        <w:t xml:space="preserve">. </w:t>
      </w:r>
      <w:r w:rsidR="00676030">
        <w:rPr>
          <w:rFonts w:cs="Times New Roman"/>
          <w:sz w:val="24"/>
          <w:szCs w:val="24"/>
        </w:rPr>
        <w:t xml:space="preserve">We supplemented this information </w:t>
      </w:r>
      <w:r w:rsidR="00753893">
        <w:rPr>
          <w:rFonts w:cs="Times New Roman"/>
          <w:sz w:val="24"/>
          <w:szCs w:val="24"/>
        </w:rPr>
        <w:t xml:space="preserve">from local educators </w:t>
      </w:r>
      <w:r w:rsidR="00676030">
        <w:rPr>
          <w:rFonts w:cs="Times New Roman"/>
          <w:sz w:val="24"/>
          <w:szCs w:val="24"/>
        </w:rPr>
        <w:t xml:space="preserve">with various reports and other documents </w:t>
      </w:r>
      <w:r w:rsidR="007C42D2" w:rsidRPr="00753893">
        <w:rPr>
          <w:rFonts w:cs="Times New Roman"/>
          <w:sz w:val="24"/>
          <w:szCs w:val="24"/>
        </w:rPr>
        <w:t xml:space="preserve">specifically </w:t>
      </w:r>
      <w:r w:rsidR="007C42D2">
        <w:rPr>
          <w:rFonts w:cs="Times New Roman"/>
          <w:sz w:val="24"/>
          <w:szCs w:val="24"/>
        </w:rPr>
        <w:t>r</w:t>
      </w:r>
      <w:r w:rsidR="00676030">
        <w:rPr>
          <w:rFonts w:cs="Times New Roman"/>
          <w:sz w:val="24"/>
          <w:szCs w:val="24"/>
        </w:rPr>
        <w:t>elated to the two boroughs</w:t>
      </w:r>
      <w:r w:rsidR="009625A1">
        <w:rPr>
          <w:rFonts w:cs="Times New Roman"/>
          <w:sz w:val="24"/>
          <w:szCs w:val="24"/>
        </w:rPr>
        <w:t xml:space="preserve">. Particularly noteworthy are Michael Fullan’s 2014 book of school reform in three major cities around the world (Toronto, New York and London) which uses both Hackney and Tower Hamlets to illustrate London’s success, and </w:t>
      </w:r>
      <w:r w:rsidR="00433AC9">
        <w:rPr>
          <w:rFonts w:cs="Times New Roman"/>
          <w:sz w:val="24"/>
          <w:szCs w:val="24"/>
        </w:rPr>
        <w:t xml:space="preserve">a </w:t>
      </w:r>
      <w:r w:rsidR="009625A1">
        <w:rPr>
          <w:rFonts w:cs="Times New Roman"/>
          <w:sz w:val="24"/>
          <w:szCs w:val="24"/>
        </w:rPr>
        <w:t xml:space="preserve">comprehensive report by Woods et al, 2013 on the transformation of education in Tower Hamlets. </w:t>
      </w:r>
      <w:r w:rsidR="00433AC9">
        <w:rPr>
          <w:rFonts w:cs="Times New Roman"/>
          <w:sz w:val="24"/>
          <w:szCs w:val="24"/>
        </w:rPr>
        <w:t xml:space="preserve"> We also had discussions with</w:t>
      </w:r>
      <w:r w:rsidR="00AF01E7">
        <w:rPr>
          <w:rFonts w:cs="Times New Roman"/>
          <w:sz w:val="24"/>
          <w:szCs w:val="24"/>
        </w:rPr>
        <w:t xml:space="preserve"> national practitioners and academics familiar with education policy </w:t>
      </w:r>
      <w:r w:rsidR="00753893">
        <w:rPr>
          <w:rFonts w:cs="Times New Roman"/>
          <w:sz w:val="24"/>
          <w:szCs w:val="24"/>
        </w:rPr>
        <w:t xml:space="preserve">and practices in London and the country. </w:t>
      </w:r>
      <w:r w:rsidR="00433AC9">
        <w:rPr>
          <w:rFonts w:cs="Times New Roman"/>
          <w:sz w:val="24"/>
          <w:szCs w:val="24"/>
        </w:rPr>
        <w:t xml:space="preserve"> Finally, </w:t>
      </w:r>
      <w:r w:rsidR="00753893">
        <w:rPr>
          <w:rFonts w:cs="Times New Roman"/>
          <w:sz w:val="24"/>
          <w:szCs w:val="24"/>
        </w:rPr>
        <w:t xml:space="preserve">we </w:t>
      </w:r>
      <w:r w:rsidR="00160CEC">
        <w:rPr>
          <w:rFonts w:cs="Times New Roman"/>
          <w:sz w:val="24"/>
          <w:szCs w:val="24"/>
        </w:rPr>
        <w:t xml:space="preserve">examined </w:t>
      </w:r>
      <w:r w:rsidR="00753893">
        <w:rPr>
          <w:rFonts w:cs="Times New Roman"/>
          <w:sz w:val="24"/>
          <w:szCs w:val="24"/>
        </w:rPr>
        <w:t xml:space="preserve">in some detail </w:t>
      </w:r>
      <w:r w:rsidR="00160CEC">
        <w:rPr>
          <w:rFonts w:cs="Times New Roman"/>
          <w:sz w:val="24"/>
          <w:szCs w:val="24"/>
        </w:rPr>
        <w:t xml:space="preserve">the contemporaneous reports on </w:t>
      </w:r>
      <w:r w:rsidR="00BF77BA">
        <w:rPr>
          <w:rFonts w:cs="Times New Roman"/>
          <w:sz w:val="24"/>
          <w:szCs w:val="24"/>
        </w:rPr>
        <w:t xml:space="preserve">boroughs </w:t>
      </w:r>
      <w:r w:rsidR="00160CEC">
        <w:rPr>
          <w:rFonts w:cs="Times New Roman"/>
          <w:sz w:val="24"/>
          <w:szCs w:val="24"/>
        </w:rPr>
        <w:t xml:space="preserve">and individual schools that Ofsted published during the years relevant to our study. </w:t>
      </w:r>
      <w:r w:rsidR="00753893">
        <w:rPr>
          <w:rFonts w:cs="Times New Roman"/>
          <w:sz w:val="24"/>
          <w:szCs w:val="24"/>
        </w:rPr>
        <w:t xml:space="preserve">In this manner, we </w:t>
      </w:r>
      <w:r w:rsidR="00E66BEA">
        <w:rPr>
          <w:rFonts w:cs="Times New Roman"/>
          <w:sz w:val="24"/>
          <w:szCs w:val="24"/>
        </w:rPr>
        <w:t xml:space="preserve">were able to cross </w:t>
      </w:r>
      <w:r w:rsidR="00753893">
        <w:rPr>
          <w:rFonts w:cs="Times New Roman"/>
          <w:sz w:val="24"/>
          <w:szCs w:val="24"/>
        </w:rPr>
        <w:t xml:space="preserve">validate information from various sources. A list of the people we interviewed is included in the appendix. </w:t>
      </w:r>
    </w:p>
    <w:p w14:paraId="73838E4F" w14:textId="77777777" w:rsidR="0024570B" w:rsidRDefault="0024570B" w:rsidP="00F6528A">
      <w:pPr>
        <w:contextualSpacing/>
        <w:rPr>
          <w:rFonts w:cs="Times New Roman"/>
          <w:sz w:val="24"/>
          <w:szCs w:val="24"/>
        </w:rPr>
      </w:pPr>
    </w:p>
    <w:p w14:paraId="18F770CD" w14:textId="77777777" w:rsidR="00F6528A" w:rsidRPr="00D4071A" w:rsidRDefault="00F6528A" w:rsidP="00F6528A">
      <w:pPr>
        <w:contextualSpacing/>
        <w:rPr>
          <w:b/>
          <w:sz w:val="28"/>
          <w:szCs w:val="28"/>
        </w:rPr>
      </w:pPr>
      <w:r w:rsidRPr="00D4071A">
        <w:rPr>
          <w:rFonts w:cs="Times New Roman"/>
          <w:b/>
          <w:sz w:val="28"/>
          <w:szCs w:val="28"/>
        </w:rPr>
        <w:t xml:space="preserve">Strong </w:t>
      </w:r>
      <w:r>
        <w:rPr>
          <w:rFonts w:cs="Times New Roman"/>
          <w:b/>
          <w:sz w:val="28"/>
          <w:szCs w:val="28"/>
        </w:rPr>
        <w:t>leadership at the borough level</w:t>
      </w:r>
    </w:p>
    <w:p w14:paraId="67AF24F0" w14:textId="77777777" w:rsidR="00F6528A" w:rsidRDefault="00F6528A" w:rsidP="00F6528A">
      <w:pPr>
        <w:contextualSpacing/>
        <w:rPr>
          <w:sz w:val="24"/>
          <w:szCs w:val="24"/>
        </w:rPr>
      </w:pPr>
    </w:p>
    <w:p w14:paraId="4528FB6E" w14:textId="6844BFD8" w:rsidR="00F6528A" w:rsidRDefault="00F6528A" w:rsidP="00F6528A">
      <w:pPr>
        <w:contextualSpacing/>
        <w:rPr>
          <w:sz w:val="24"/>
          <w:szCs w:val="24"/>
        </w:rPr>
      </w:pPr>
      <w:r>
        <w:rPr>
          <w:sz w:val="24"/>
          <w:szCs w:val="24"/>
        </w:rPr>
        <w:t xml:space="preserve">The development of powerful leadership took different forms in the two boroughs and, consistent with their different patterns of school improvement, occurred at different times. The leadership change occurred in 1997 in Tower Hamlets and in 2002 in Hackney. </w:t>
      </w:r>
    </w:p>
    <w:p w14:paraId="5042888C" w14:textId="77777777" w:rsidR="00F6528A" w:rsidRDefault="00F6528A" w:rsidP="00F6528A">
      <w:pPr>
        <w:contextualSpacing/>
        <w:rPr>
          <w:sz w:val="24"/>
          <w:szCs w:val="24"/>
        </w:rPr>
      </w:pPr>
    </w:p>
    <w:p w14:paraId="237D37AE" w14:textId="77777777" w:rsidR="00F6528A" w:rsidRPr="00D4071A" w:rsidRDefault="00F6528A" w:rsidP="00F6528A">
      <w:pPr>
        <w:contextualSpacing/>
        <w:rPr>
          <w:b/>
          <w:sz w:val="24"/>
          <w:szCs w:val="24"/>
        </w:rPr>
      </w:pPr>
      <w:r w:rsidRPr="00D4071A">
        <w:rPr>
          <w:b/>
          <w:sz w:val="24"/>
          <w:szCs w:val="24"/>
        </w:rPr>
        <w:t>Tower Hamlets</w:t>
      </w:r>
    </w:p>
    <w:p w14:paraId="15CDD95E" w14:textId="77777777" w:rsidR="00F6528A" w:rsidRPr="004C54A1" w:rsidRDefault="00F6528A" w:rsidP="00F6528A">
      <w:pPr>
        <w:contextualSpacing/>
        <w:rPr>
          <w:b/>
          <w:sz w:val="24"/>
          <w:szCs w:val="24"/>
        </w:rPr>
      </w:pPr>
    </w:p>
    <w:p w14:paraId="1518A5BF" w14:textId="2AE58BEF" w:rsidR="00F6528A" w:rsidRDefault="00F6528A" w:rsidP="00F6528A">
      <w:pPr>
        <w:contextualSpacing/>
        <w:rPr>
          <w:sz w:val="24"/>
          <w:szCs w:val="24"/>
        </w:rPr>
      </w:pPr>
      <w:r>
        <w:rPr>
          <w:sz w:val="24"/>
          <w:szCs w:val="24"/>
        </w:rPr>
        <w:t xml:space="preserve">The new leadership in </w:t>
      </w:r>
      <w:r w:rsidRPr="003B196D">
        <w:rPr>
          <w:sz w:val="24"/>
          <w:szCs w:val="24"/>
        </w:rPr>
        <w:t>Tower Hamlets</w:t>
      </w:r>
      <w:r>
        <w:rPr>
          <w:sz w:val="24"/>
          <w:szCs w:val="24"/>
        </w:rPr>
        <w:t xml:space="preserve"> appeared in the form of Christine Gilbert, who took over the post of Director of Education in September of 1997.</w:t>
      </w:r>
      <w:r w:rsidR="00A11389">
        <w:rPr>
          <w:rStyle w:val="FootnoteReference"/>
          <w:sz w:val="24"/>
          <w:szCs w:val="24"/>
        </w:rPr>
        <w:footnoteReference w:id="16"/>
      </w:r>
      <w:r>
        <w:rPr>
          <w:sz w:val="24"/>
          <w:szCs w:val="24"/>
        </w:rPr>
        <w:t xml:space="preserve"> Gilbert was a savvy and experienced educator – formerly a successful head teacher and a director of education in an Outer London borough – who later went on to become Chief Inspector of Ofsted. Gilbert set about implementing an ambitious Strategic Plan for 1998-2002 marked by ambitious goals for pupils and educators alike. “She is unequivocal about the need to raise standards urgently, and has won the enthusiastic assent of Headteachers to a more challenging and ambitious approach,” a 1998 borough-wide Ofsted report declared. </w:t>
      </w:r>
    </w:p>
    <w:p w14:paraId="6D9B4582" w14:textId="77777777" w:rsidR="00F6528A" w:rsidRDefault="00F6528A" w:rsidP="00F6528A">
      <w:pPr>
        <w:contextualSpacing/>
        <w:rPr>
          <w:rFonts w:cs="Times New Roman"/>
          <w:sz w:val="24"/>
          <w:szCs w:val="24"/>
        </w:rPr>
      </w:pPr>
    </w:p>
    <w:p w14:paraId="78C6841C" w14:textId="3080AFEA" w:rsidR="00F6528A" w:rsidRDefault="00F6528A" w:rsidP="00F6528A">
      <w:pPr>
        <w:contextualSpacing/>
        <w:rPr>
          <w:rFonts w:cs="Times New Roman"/>
          <w:sz w:val="24"/>
          <w:szCs w:val="24"/>
        </w:rPr>
      </w:pPr>
      <w:r>
        <w:rPr>
          <w:rFonts w:cs="Times New Roman"/>
          <w:sz w:val="24"/>
          <w:szCs w:val="24"/>
        </w:rPr>
        <w:t xml:space="preserve">The challenges that Gilbert inherited were daunting. The 1998 Ofsted report, issued shortly after her arrival, was a devastating document that, while expressing support for some of her early moves, characterized attainment levels in the borough as “unacceptably low at all levels.” Significantly, the Chief Inspector of Schools, with Gilbert’s assent, insisted </w:t>
      </w:r>
      <w:r w:rsidRPr="008B34CC">
        <w:rPr>
          <w:rFonts w:cs="Times New Roman"/>
          <w:sz w:val="24"/>
          <w:szCs w:val="24"/>
        </w:rPr>
        <w:t xml:space="preserve">that the report </w:t>
      </w:r>
      <w:r>
        <w:rPr>
          <w:rFonts w:cs="Times New Roman"/>
          <w:sz w:val="24"/>
          <w:szCs w:val="24"/>
        </w:rPr>
        <w:t>be presented</w:t>
      </w:r>
      <w:r w:rsidRPr="008B34CC">
        <w:rPr>
          <w:rFonts w:cs="Times New Roman"/>
          <w:sz w:val="24"/>
          <w:szCs w:val="24"/>
        </w:rPr>
        <w:t xml:space="preserve"> not only to her in her capacity as director of education services but also to the full borough council </w:t>
      </w:r>
      <w:r>
        <w:rPr>
          <w:rFonts w:cs="Times New Roman"/>
          <w:sz w:val="24"/>
          <w:szCs w:val="24"/>
        </w:rPr>
        <w:t xml:space="preserve">(Woods et al, 2013, p. 9).  </w:t>
      </w:r>
      <w:r w:rsidRPr="008B34CC">
        <w:rPr>
          <w:rFonts w:cs="Times New Roman"/>
          <w:sz w:val="24"/>
          <w:szCs w:val="24"/>
        </w:rPr>
        <w:t>The</w:t>
      </w:r>
      <w:r>
        <w:rPr>
          <w:rFonts w:cs="Times New Roman"/>
          <w:sz w:val="24"/>
          <w:szCs w:val="24"/>
        </w:rPr>
        <w:t xml:space="preserve"> council members, well aware that they were under the gun from Ofsted to show significant improvement in schools,</w:t>
      </w:r>
      <w:r w:rsidRPr="008B34CC">
        <w:rPr>
          <w:rFonts w:cs="Times New Roman"/>
          <w:sz w:val="24"/>
          <w:szCs w:val="24"/>
        </w:rPr>
        <w:t xml:space="preserve"> responded with strong support for education</w:t>
      </w:r>
      <w:r>
        <w:rPr>
          <w:rFonts w:cs="Times New Roman"/>
          <w:sz w:val="24"/>
          <w:szCs w:val="24"/>
        </w:rPr>
        <w:t>. Among other things, the local authority provided support for the district’s school improvement plans, recruited partners in the corporate sector to bring business expertise and volunteers into schools, and funded an attendance project organized through the local Muslim community (</w:t>
      </w:r>
      <w:r w:rsidRPr="00E75A50">
        <w:rPr>
          <w:rFonts w:cs="Times New Roman"/>
          <w:sz w:val="24"/>
          <w:szCs w:val="24"/>
        </w:rPr>
        <w:t>Fullan,</w:t>
      </w:r>
      <w:r w:rsidR="00E66BEA">
        <w:rPr>
          <w:rFonts w:cs="Times New Roman"/>
          <w:sz w:val="24"/>
          <w:szCs w:val="24"/>
        </w:rPr>
        <w:t xml:space="preserve"> </w:t>
      </w:r>
      <w:r w:rsidRPr="00E75A50">
        <w:rPr>
          <w:rFonts w:cs="Times New Roman"/>
          <w:sz w:val="24"/>
          <w:szCs w:val="24"/>
        </w:rPr>
        <w:t>2014</w:t>
      </w:r>
      <w:r>
        <w:rPr>
          <w:rFonts w:cs="Times New Roman"/>
          <w:sz w:val="24"/>
          <w:szCs w:val="24"/>
        </w:rPr>
        <w:t xml:space="preserve">). </w:t>
      </w:r>
      <w:r w:rsidRPr="008B34CC">
        <w:rPr>
          <w:rFonts w:cs="Times New Roman"/>
          <w:sz w:val="24"/>
          <w:szCs w:val="24"/>
        </w:rPr>
        <w:t>Thus</w:t>
      </w:r>
      <w:r w:rsidR="001E40FE">
        <w:rPr>
          <w:rFonts w:cs="Times New Roman"/>
          <w:sz w:val="24"/>
          <w:szCs w:val="24"/>
        </w:rPr>
        <w:t>,</w:t>
      </w:r>
      <w:r w:rsidRPr="008B34CC">
        <w:rPr>
          <w:rFonts w:cs="Times New Roman"/>
          <w:sz w:val="24"/>
          <w:szCs w:val="24"/>
        </w:rPr>
        <w:t xml:space="preserve"> education and political leaders began working together to make sure that </w:t>
      </w:r>
      <w:r>
        <w:rPr>
          <w:rFonts w:cs="Times New Roman"/>
          <w:sz w:val="24"/>
          <w:szCs w:val="24"/>
        </w:rPr>
        <w:t xml:space="preserve">the education system </w:t>
      </w:r>
      <w:r w:rsidRPr="008B34CC">
        <w:rPr>
          <w:rFonts w:cs="Times New Roman"/>
          <w:sz w:val="24"/>
          <w:szCs w:val="24"/>
        </w:rPr>
        <w:t>improved enough by the next Ofsted report in 2000 to avoid being taken over by the government.</w:t>
      </w:r>
      <w:r>
        <w:rPr>
          <w:rFonts w:cs="Times New Roman"/>
          <w:sz w:val="24"/>
          <w:szCs w:val="24"/>
        </w:rPr>
        <w:t xml:space="preserve"> </w:t>
      </w:r>
    </w:p>
    <w:p w14:paraId="72C717FC" w14:textId="77777777" w:rsidR="00F6528A" w:rsidRDefault="00F6528A" w:rsidP="00F6528A">
      <w:pPr>
        <w:contextualSpacing/>
        <w:rPr>
          <w:rFonts w:cs="Times New Roman"/>
          <w:sz w:val="24"/>
          <w:szCs w:val="24"/>
        </w:rPr>
      </w:pPr>
    </w:p>
    <w:p w14:paraId="5AF01B73" w14:textId="536030EC" w:rsidR="00F6528A" w:rsidRDefault="00F6528A" w:rsidP="00F6528A">
      <w:pPr>
        <w:contextualSpacing/>
        <w:rPr>
          <w:sz w:val="24"/>
          <w:szCs w:val="24"/>
        </w:rPr>
      </w:pPr>
      <w:r>
        <w:rPr>
          <w:sz w:val="24"/>
          <w:szCs w:val="24"/>
        </w:rPr>
        <w:t xml:space="preserve">The subsequent Ofsted report in 2000 attributed much of the initial improvements in the Tower Hamlets schools to “the high quality of leadership shown by the director and senior officers” and the confidence that they inspired among headteachers and others. The report went on to cite </w:t>
      </w:r>
      <w:r w:rsidRPr="004C54A1">
        <w:rPr>
          <w:sz w:val="24"/>
          <w:szCs w:val="24"/>
        </w:rPr>
        <w:t>strong leadership throughout the system as a key factor in the borough’s subsequent gains in achievement, attendance and other areas. “Headteachers, Governors and Members all expressed their confidence in the leadership of the Director and senior officers,” it reported, “Key features of LEA leadership now included effective consultation with Headteachers, Governors and other stakeholders, good strategic planning, the development of effective working partnerships with schools, and high expectations for the performance of schools and LEA se</w:t>
      </w:r>
      <w:r>
        <w:rPr>
          <w:sz w:val="24"/>
          <w:szCs w:val="24"/>
        </w:rPr>
        <w:t xml:space="preserve">rvices” (Woods et al.,2013, </w:t>
      </w:r>
      <w:r w:rsidRPr="004C54A1">
        <w:rPr>
          <w:sz w:val="24"/>
          <w:szCs w:val="24"/>
        </w:rPr>
        <w:t>p. 9</w:t>
      </w:r>
      <w:r>
        <w:rPr>
          <w:sz w:val="24"/>
          <w:szCs w:val="24"/>
        </w:rPr>
        <w:t>,.) “Christine led from the front, there were no excuses, only challenges to be overcome,” observed one Tower Hamlets official (Woods</w:t>
      </w:r>
      <w:r w:rsidR="00E66BEA">
        <w:rPr>
          <w:sz w:val="24"/>
          <w:szCs w:val="24"/>
        </w:rPr>
        <w:t xml:space="preserve"> et al, 2013, p.20)</w:t>
      </w:r>
      <w:r>
        <w:rPr>
          <w:sz w:val="24"/>
          <w:szCs w:val="24"/>
        </w:rPr>
        <w:t>.</w:t>
      </w:r>
    </w:p>
    <w:p w14:paraId="485A0330" w14:textId="77777777" w:rsidR="00F6528A" w:rsidRDefault="00F6528A" w:rsidP="00F6528A">
      <w:pPr>
        <w:contextualSpacing/>
        <w:rPr>
          <w:sz w:val="24"/>
          <w:szCs w:val="24"/>
          <w:u w:val="single"/>
        </w:rPr>
      </w:pPr>
    </w:p>
    <w:p w14:paraId="40391E4E" w14:textId="335A4497" w:rsidR="00F6528A" w:rsidRDefault="00F6528A" w:rsidP="00F6528A">
      <w:pPr>
        <w:contextualSpacing/>
        <w:rPr>
          <w:sz w:val="24"/>
          <w:szCs w:val="24"/>
        </w:rPr>
      </w:pPr>
      <w:r w:rsidRPr="001E40FE">
        <w:rPr>
          <w:rFonts w:cs="Times New Roman"/>
          <w:sz w:val="24"/>
          <w:szCs w:val="24"/>
        </w:rPr>
        <w:t xml:space="preserve">In 2001 </w:t>
      </w:r>
      <w:r w:rsidR="000130F9" w:rsidRPr="001E40FE">
        <w:rPr>
          <w:rFonts w:eastAsia="Times New Roman"/>
        </w:rPr>
        <w:t>Christine</w:t>
      </w:r>
      <w:r w:rsidR="000130F9">
        <w:rPr>
          <w:rFonts w:eastAsia="Times New Roman"/>
        </w:rPr>
        <w:t xml:space="preserve"> moved from Director of Education to Chief Executive of the Council. She was replaced as director by Stephen Grix, </w:t>
      </w:r>
      <w:r w:rsidR="00DF2BC7">
        <w:rPr>
          <w:rFonts w:eastAsia="Times New Roman"/>
        </w:rPr>
        <w:t xml:space="preserve">who had </w:t>
      </w:r>
      <w:r w:rsidR="000130F9">
        <w:rPr>
          <w:rFonts w:eastAsia="Times New Roman"/>
        </w:rPr>
        <w:t>previously</w:t>
      </w:r>
      <w:r w:rsidR="00DF2BC7">
        <w:rPr>
          <w:rFonts w:eastAsia="Times New Roman"/>
        </w:rPr>
        <w:t xml:space="preserve"> been </w:t>
      </w:r>
      <w:r w:rsidR="000130F9">
        <w:rPr>
          <w:rFonts w:eastAsia="Times New Roman"/>
        </w:rPr>
        <w:t xml:space="preserve">head of post-16 provision at Ofsted and then by Kevan Collins who, like Christine, went on to be Chief Executive.  These subsequent leaders </w:t>
      </w:r>
      <w:r>
        <w:rPr>
          <w:sz w:val="24"/>
          <w:szCs w:val="24"/>
        </w:rPr>
        <w:t xml:space="preserve">shared her educational philosophy and continued her core policies. </w:t>
      </w:r>
    </w:p>
    <w:p w14:paraId="6A4C7651" w14:textId="77777777" w:rsidR="00F6528A" w:rsidRDefault="00F6528A" w:rsidP="00F6528A">
      <w:pPr>
        <w:contextualSpacing/>
        <w:rPr>
          <w:sz w:val="24"/>
          <w:szCs w:val="24"/>
        </w:rPr>
      </w:pPr>
    </w:p>
    <w:p w14:paraId="47A35165" w14:textId="77777777" w:rsidR="00C96E09" w:rsidRDefault="00C96E09" w:rsidP="00F6528A">
      <w:pPr>
        <w:contextualSpacing/>
        <w:rPr>
          <w:sz w:val="24"/>
          <w:szCs w:val="24"/>
        </w:rPr>
      </w:pPr>
    </w:p>
    <w:p w14:paraId="5AB02F9D" w14:textId="77777777" w:rsidR="00C96E09" w:rsidRDefault="00C96E09" w:rsidP="00F6528A">
      <w:pPr>
        <w:contextualSpacing/>
        <w:rPr>
          <w:sz w:val="24"/>
          <w:szCs w:val="24"/>
        </w:rPr>
      </w:pPr>
    </w:p>
    <w:p w14:paraId="38C6865B" w14:textId="77777777" w:rsidR="00C96E09" w:rsidRDefault="00C96E09" w:rsidP="00F6528A">
      <w:pPr>
        <w:contextualSpacing/>
        <w:rPr>
          <w:sz w:val="24"/>
          <w:szCs w:val="24"/>
        </w:rPr>
      </w:pPr>
    </w:p>
    <w:p w14:paraId="7D37F6EF" w14:textId="77777777" w:rsidR="00C96E09" w:rsidRDefault="00C96E09" w:rsidP="00F6528A">
      <w:pPr>
        <w:contextualSpacing/>
        <w:rPr>
          <w:sz w:val="24"/>
          <w:szCs w:val="24"/>
        </w:rPr>
      </w:pPr>
    </w:p>
    <w:p w14:paraId="6812DDA1" w14:textId="77777777" w:rsidR="00C96E09" w:rsidRDefault="00C96E09" w:rsidP="00F6528A">
      <w:pPr>
        <w:contextualSpacing/>
        <w:rPr>
          <w:sz w:val="24"/>
          <w:szCs w:val="24"/>
        </w:rPr>
      </w:pPr>
    </w:p>
    <w:p w14:paraId="1263F56B" w14:textId="77777777" w:rsidR="00F6528A" w:rsidRPr="00D4071A" w:rsidRDefault="00F6528A" w:rsidP="00F6528A">
      <w:pPr>
        <w:rPr>
          <w:rFonts w:cs="Times New Roman"/>
          <w:b/>
          <w:sz w:val="24"/>
          <w:szCs w:val="24"/>
        </w:rPr>
      </w:pPr>
      <w:r w:rsidRPr="00D4071A">
        <w:rPr>
          <w:rFonts w:cs="Times New Roman"/>
          <w:b/>
          <w:sz w:val="24"/>
          <w:szCs w:val="24"/>
        </w:rPr>
        <w:lastRenderedPageBreak/>
        <w:t xml:space="preserve">Hackney </w:t>
      </w:r>
    </w:p>
    <w:p w14:paraId="1FCAC43E" w14:textId="6FD461EA" w:rsidR="00F6528A" w:rsidRDefault="00F6528A" w:rsidP="00F6528A">
      <w:pPr>
        <w:rPr>
          <w:rFonts w:cs="Times New Roman"/>
          <w:sz w:val="24"/>
          <w:szCs w:val="24"/>
        </w:rPr>
      </w:pPr>
      <w:r>
        <w:rPr>
          <w:rFonts w:cs="Times New Roman"/>
          <w:sz w:val="24"/>
          <w:szCs w:val="24"/>
        </w:rPr>
        <w:t xml:space="preserve">The leadership change took a different form in </w:t>
      </w:r>
      <w:r w:rsidRPr="00E07C04">
        <w:rPr>
          <w:rFonts w:cs="Times New Roman"/>
          <w:sz w:val="24"/>
          <w:szCs w:val="24"/>
        </w:rPr>
        <w:t>Hackney</w:t>
      </w:r>
      <w:r>
        <w:rPr>
          <w:rFonts w:cs="Times New Roman"/>
          <w:sz w:val="24"/>
          <w:szCs w:val="24"/>
        </w:rPr>
        <w:t>.</w:t>
      </w:r>
      <w:r w:rsidR="000130F9">
        <w:rPr>
          <w:rStyle w:val="FootnoteReference"/>
          <w:rFonts w:cs="Times New Roman"/>
          <w:sz w:val="24"/>
          <w:szCs w:val="24"/>
        </w:rPr>
        <w:footnoteReference w:id="17"/>
      </w:r>
      <w:r>
        <w:rPr>
          <w:rFonts w:cs="Times New Roman"/>
          <w:sz w:val="24"/>
          <w:szCs w:val="24"/>
        </w:rPr>
        <w:t xml:space="preserve"> </w:t>
      </w:r>
      <w:r>
        <w:rPr>
          <w:sz w:val="24"/>
          <w:szCs w:val="24"/>
        </w:rPr>
        <w:t>A series of three Ofsted reports between 1997 and 2000 had documented unacceptably low academic standards in the schools as well as pervasive ineptitude on the part of the governing council. “</w:t>
      </w:r>
      <w:r w:rsidRPr="005056D9">
        <w:rPr>
          <w:rFonts w:cs="Times New Roman"/>
          <w:sz w:val="24"/>
          <w:szCs w:val="24"/>
        </w:rPr>
        <w:t>We do not believe that Hackney LEA has the capacity to provide a secure, stable context for continuous educational improvement</w:t>
      </w:r>
      <w:r>
        <w:rPr>
          <w:rFonts w:cs="Times New Roman"/>
          <w:sz w:val="24"/>
          <w:szCs w:val="24"/>
        </w:rPr>
        <w:t xml:space="preserve">,” the </w:t>
      </w:r>
      <w:r>
        <w:rPr>
          <w:sz w:val="24"/>
          <w:szCs w:val="24"/>
        </w:rPr>
        <w:t>November September 2000 report concluded. “</w:t>
      </w:r>
      <w:r>
        <w:rPr>
          <w:rFonts w:cs="Times New Roman"/>
          <w:sz w:val="24"/>
          <w:szCs w:val="24"/>
        </w:rPr>
        <w:t>Th</w:t>
      </w:r>
      <w:r w:rsidRPr="005056D9">
        <w:rPr>
          <w:rFonts w:cs="Times New Roman"/>
          <w:sz w:val="24"/>
          <w:szCs w:val="24"/>
        </w:rPr>
        <w:t>e time has come for radical change.”</w:t>
      </w:r>
      <w:r>
        <w:rPr>
          <w:rFonts w:cs="Times New Roman"/>
          <w:sz w:val="24"/>
          <w:szCs w:val="24"/>
        </w:rPr>
        <w:t xml:space="preserve"> The government’s first instinct in 1999 had been to outsource the School Improvement and Ethnic Minority Services component of education to a private firm. However, the council was too dysfunctional to manage that contract, and it was abandoned within three years. </w:t>
      </w:r>
    </w:p>
    <w:p w14:paraId="40D7451B" w14:textId="77777777" w:rsidR="00F6528A" w:rsidRDefault="00F6528A" w:rsidP="00F6528A">
      <w:pPr>
        <w:rPr>
          <w:sz w:val="24"/>
          <w:szCs w:val="24"/>
        </w:rPr>
      </w:pPr>
      <w:r>
        <w:rPr>
          <w:sz w:val="24"/>
          <w:szCs w:val="24"/>
        </w:rPr>
        <w:t>Accordingly, in 2002, the Secretary of State for Education and Skills ordered the LEA to surrender control of all education-related functions to an independent non-profit-making body, the Learning Trust, for a ten-year period. The first such body formed to run education services for an entire borough, the Trust was run by a board whose members included council appointees, educators, parents and other stakeholders. This change had the advantage of insulating educational services from the political process and assuring that Trust leaders could focus their attention on educational matters. The government made it clear that the contract would end in ten years.  This commitment was important because it signaled the government’s intent to return the education services to the local council – that is, to the elected local government – once governance and administrative issues had been sorted out. Responsibility for education in Hackney was indeed turned back on schedule in 2012, but authorities retained the name and branding of the Learning Trust, which had gained the trust of the local community.</w:t>
      </w:r>
    </w:p>
    <w:p w14:paraId="1D82FAB2" w14:textId="1CFB5373" w:rsidR="00F6528A" w:rsidRDefault="00F6528A" w:rsidP="00F6528A">
      <w:pPr>
        <w:rPr>
          <w:rFonts w:cs="Times New Roman"/>
          <w:sz w:val="24"/>
          <w:szCs w:val="24"/>
        </w:rPr>
      </w:pPr>
      <w:r>
        <w:rPr>
          <w:sz w:val="24"/>
          <w:szCs w:val="24"/>
        </w:rPr>
        <w:t xml:space="preserve">As in Tower Hamlets, strong leaders were recruited to head the effort. </w:t>
      </w:r>
      <w:r w:rsidRPr="005056D9">
        <w:rPr>
          <w:rFonts w:cs="Times New Roman"/>
          <w:sz w:val="24"/>
          <w:szCs w:val="24"/>
        </w:rPr>
        <w:t xml:space="preserve">Sir Mike Tomlinson, who had just stepped down as Chief Inspector at Ofsted, became the first chairman of The Learning Trust. Alan Wood, a former education director at Lambeth, another Inner London borough, was </w:t>
      </w:r>
      <w:r>
        <w:rPr>
          <w:rFonts w:cs="Times New Roman"/>
          <w:sz w:val="24"/>
          <w:szCs w:val="24"/>
        </w:rPr>
        <w:t xml:space="preserve">hired by the Hackney Council in 2001 to prepare for the move from the council to The Learning Trust, and when the Trust began work in </w:t>
      </w:r>
      <w:r w:rsidR="001E40FE">
        <w:rPr>
          <w:rFonts w:cs="Times New Roman"/>
          <w:sz w:val="24"/>
          <w:szCs w:val="24"/>
        </w:rPr>
        <w:t>September, 2002,</w:t>
      </w:r>
      <w:r>
        <w:rPr>
          <w:rFonts w:cs="Times New Roman"/>
          <w:sz w:val="24"/>
          <w:szCs w:val="24"/>
        </w:rPr>
        <w:t xml:space="preserve"> he became its </w:t>
      </w:r>
      <w:r w:rsidRPr="005056D9">
        <w:rPr>
          <w:rFonts w:cs="Times New Roman"/>
          <w:sz w:val="24"/>
          <w:szCs w:val="24"/>
        </w:rPr>
        <w:t>Director of Education</w:t>
      </w:r>
      <w:r>
        <w:rPr>
          <w:rFonts w:cs="Times New Roman"/>
          <w:sz w:val="24"/>
          <w:szCs w:val="24"/>
        </w:rPr>
        <w:t>.</w:t>
      </w:r>
      <w:r w:rsidRPr="005056D9">
        <w:rPr>
          <w:rFonts w:cs="Times New Roman"/>
          <w:sz w:val="24"/>
          <w:szCs w:val="24"/>
        </w:rPr>
        <w:t xml:space="preserve"> </w:t>
      </w:r>
      <w:r>
        <w:rPr>
          <w:rFonts w:cs="Times New Roman"/>
          <w:sz w:val="24"/>
          <w:szCs w:val="24"/>
        </w:rPr>
        <w:t xml:space="preserve">He returned to the Hackney Council in 2011 as Director of Children’s Services in order to manage the transition back to public governance. </w:t>
      </w:r>
    </w:p>
    <w:p w14:paraId="44D848FE" w14:textId="77777777" w:rsidR="00F6528A" w:rsidRDefault="00F6528A" w:rsidP="00F6528A">
      <w:pPr>
        <w:rPr>
          <w:rFonts w:cs="Times New Roman"/>
          <w:sz w:val="24"/>
          <w:szCs w:val="24"/>
        </w:rPr>
      </w:pPr>
      <w:r>
        <w:rPr>
          <w:rFonts w:cs="Times New Roman"/>
          <w:sz w:val="24"/>
          <w:szCs w:val="24"/>
        </w:rPr>
        <w:lastRenderedPageBreak/>
        <w:t>It took time for the new leaders to focus on the primary schools given their first priority had to be at the secondary level with its failing schools. Consistent with the national government’s focus on academies, it shut down failing secondary schools and set up five academies with totally new staffs and facilities. At the primary level, much of the work during the first five years focused responding to Ofsted critiques of specific schools and the goal of getting all children reading by age 7. Leaders could then turn their attention to implementing a comprehensive plan for school improvement throughout the borough.</w:t>
      </w:r>
    </w:p>
    <w:p w14:paraId="3875194E" w14:textId="77777777" w:rsidR="00F6528A" w:rsidRDefault="00F6528A" w:rsidP="00F6528A">
      <w:pPr>
        <w:rPr>
          <w:rFonts w:cs="Times New Roman"/>
          <w:sz w:val="24"/>
          <w:szCs w:val="24"/>
        </w:rPr>
      </w:pPr>
    </w:p>
    <w:p w14:paraId="7F58A7CA" w14:textId="77777777" w:rsidR="00F6528A" w:rsidRPr="00D4071A" w:rsidRDefault="00F6528A" w:rsidP="00F6528A">
      <w:pPr>
        <w:rPr>
          <w:b/>
          <w:sz w:val="28"/>
          <w:szCs w:val="28"/>
        </w:rPr>
      </w:pPr>
      <w:r>
        <w:rPr>
          <w:b/>
          <w:sz w:val="28"/>
          <w:szCs w:val="28"/>
        </w:rPr>
        <w:t>Shared v</w:t>
      </w:r>
      <w:r w:rsidRPr="00D4071A">
        <w:rPr>
          <w:b/>
          <w:sz w:val="28"/>
          <w:szCs w:val="28"/>
        </w:rPr>
        <w:t xml:space="preserve">ision </w:t>
      </w:r>
    </w:p>
    <w:p w14:paraId="0729E427" w14:textId="77777777" w:rsidR="00F6528A" w:rsidRDefault="00F6528A" w:rsidP="00F6528A">
      <w:pPr>
        <w:contextualSpacing/>
        <w:rPr>
          <w:sz w:val="24"/>
          <w:szCs w:val="24"/>
        </w:rPr>
      </w:pPr>
      <w:r>
        <w:rPr>
          <w:sz w:val="24"/>
          <w:szCs w:val="24"/>
        </w:rPr>
        <w:t xml:space="preserve">In both boroughs, the new leaders were driven by essentially the same vision of how to operate a successful urban education system. This vision centered on two beliefs: (1) a commitment to high academic expectations for all children, including those from low-income backgrounds, and (2) the importance of establishing of a culture of mutual responsibility and of cooperation throughout the borough.  </w:t>
      </w:r>
    </w:p>
    <w:p w14:paraId="6D2251B4" w14:textId="77777777" w:rsidR="00F6528A" w:rsidRDefault="00F6528A" w:rsidP="00F6528A">
      <w:pPr>
        <w:ind w:left="720"/>
        <w:contextualSpacing/>
        <w:rPr>
          <w:sz w:val="24"/>
          <w:szCs w:val="24"/>
        </w:rPr>
      </w:pPr>
    </w:p>
    <w:p w14:paraId="58A566AB" w14:textId="77777777" w:rsidR="00F6528A" w:rsidRPr="00925B5B" w:rsidRDefault="00F6528A" w:rsidP="00F6528A">
      <w:pPr>
        <w:contextualSpacing/>
        <w:rPr>
          <w:b/>
          <w:sz w:val="24"/>
          <w:szCs w:val="24"/>
        </w:rPr>
      </w:pPr>
      <w:r>
        <w:rPr>
          <w:b/>
          <w:sz w:val="24"/>
          <w:szCs w:val="24"/>
        </w:rPr>
        <w:t xml:space="preserve">High Academic Expectations for All Children   </w:t>
      </w:r>
    </w:p>
    <w:p w14:paraId="5C6086C3" w14:textId="77777777" w:rsidR="00F6528A" w:rsidRDefault="00F6528A" w:rsidP="00F6528A">
      <w:pPr>
        <w:contextualSpacing/>
        <w:rPr>
          <w:sz w:val="24"/>
          <w:szCs w:val="24"/>
        </w:rPr>
      </w:pPr>
    </w:p>
    <w:p w14:paraId="7E1EBC1B" w14:textId="405B8DA6" w:rsidR="00F6528A" w:rsidRPr="001E40FE" w:rsidRDefault="00F6528A" w:rsidP="00F6528A">
      <w:pPr>
        <w:contextualSpacing/>
        <w:rPr>
          <w:rFonts w:cs="Times New Roman"/>
          <w:sz w:val="24"/>
          <w:szCs w:val="24"/>
        </w:rPr>
      </w:pPr>
      <w:r w:rsidRPr="001E40FE">
        <w:rPr>
          <w:sz w:val="24"/>
          <w:szCs w:val="24"/>
        </w:rPr>
        <w:t>Statistical correlations between socio-economic status and academic achievement are well known. In every developed country, including those with top-rated schools</w:t>
      </w:r>
      <w:r w:rsidR="001E40FE" w:rsidRPr="001E40FE">
        <w:rPr>
          <w:sz w:val="24"/>
          <w:szCs w:val="24"/>
        </w:rPr>
        <w:t>’</w:t>
      </w:r>
      <w:r w:rsidRPr="001E40FE">
        <w:rPr>
          <w:sz w:val="24"/>
          <w:szCs w:val="24"/>
        </w:rPr>
        <w:t xml:space="preserve"> systems, children from disadvantaged backgrounds achieve at lower levels on average than their more privileged peers. Such correlations are then frequently used to justify lower academic expectations for children from low-income backgrounds. Leaders in both Tower Hamlets and Hackney flatly rejected this attitude and set out to systematically raise expectations for all children. Poor children may bring special challenges with them when they come to school, they maintained, but schools have it within their power to help them meet these challenges. </w:t>
      </w:r>
      <w:r w:rsidRPr="001E40FE">
        <w:rPr>
          <w:rFonts w:cs="Times New Roman"/>
          <w:sz w:val="24"/>
          <w:szCs w:val="24"/>
        </w:rPr>
        <w:t xml:space="preserve">“That was the mantra – poverty is no excuse,” recalled Terry Parkin, a former local school Inspector and now interim director of education in Tower Hamlets. “Christine created a culture and climate where failure was not an option.” </w:t>
      </w:r>
    </w:p>
    <w:p w14:paraId="7C234CC5" w14:textId="77777777" w:rsidR="00F6528A" w:rsidRDefault="00F6528A" w:rsidP="00F6528A">
      <w:pPr>
        <w:contextualSpacing/>
        <w:rPr>
          <w:rFonts w:cs="Times New Roman"/>
        </w:rPr>
      </w:pPr>
    </w:p>
    <w:p w14:paraId="7145103C" w14:textId="77777777" w:rsidR="00F6528A" w:rsidRDefault="00F6528A" w:rsidP="00F6528A">
      <w:pPr>
        <w:contextualSpacing/>
        <w:rPr>
          <w:sz w:val="24"/>
          <w:szCs w:val="24"/>
        </w:rPr>
      </w:pPr>
      <w:r>
        <w:rPr>
          <w:rFonts w:cs="Times New Roman"/>
          <w:sz w:val="24"/>
          <w:szCs w:val="24"/>
        </w:rPr>
        <w:t>Alan Wood and his colleagues at the Learning Trust in Hackney sent similar signals, and i</w:t>
      </w:r>
      <w:r w:rsidRPr="005B34FD">
        <w:rPr>
          <w:rFonts w:cs="Times New Roman"/>
          <w:sz w:val="24"/>
          <w:szCs w:val="24"/>
        </w:rPr>
        <w:t xml:space="preserve">n both </w:t>
      </w:r>
      <w:r>
        <w:rPr>
          <w:rFonts w:cs="Times New Roman"/>
          <w:sz w:val="24"/>
          <w:szCs w:val="24"/>
        </w:rPr>
        <w:t xml:space="preserve">boroughs this message was internalized at the school level. “We know that all children can learn,” said Michelle Thomas, executive head of a federation of schools in Hackney. “We just have to figure out how to open the box differently with different children.” </w:t>
      </w:r>
      <w:r>
        <w:rPr>
          <w:sz w:val="24"/>
          <w:szCs w:val="24"/>
        </w:rPr>
        <w:t xml:space="preserve">Significantly, in both boroughs high expectations for all children were established within a broader culture of high expectations for all adults in the system, not only for headteachers and teachers within schools but also for administrators at the borough level.  </w:t>
      </w:r>
    </w:p>
    <w:p w14:paraId="018CB294" w14:textId="77777777" w:rsidR="00F6528A" w:rsidRDefault="00F6528A" w:rsidP="00F6528A">
      <w:pPr>
        <w:contextualSpacing/>
        <w:rPr>
          <w:b/>
          <w:sz w:val="24"/>
          <w:szCs w:val="24"/>
        </w:rPr>
      </w:pPr>
    </w:p>
    <w:p w14:paraId="0DAB9715" w14:textId="77777777" w:rsidR="00F6528A" w:rsidRDefault="00F6528A" w:rsidP="00F6528A">
      <w:pPr>
        <w:contextualSpacing/>
        <w:rPr>
          <w:sz w:val="24"/>
          <w:szCs w:val="24"/>
        </w:rPr>
      </w:pPr>
      <w:r w:rsidRPr="00E81E82">
        <w:rPr>
          <w:b/>
          <w:sz w:val="24"/>
          <w:szCs w:val="24"/>
        </w:rPr>
        <w:t xml:space="preserve">Culture of </w:t>
      </w:r>
      <w:r>
        <w:rPr>
          <w:b/>
          <w:sz w:val="24"/>
          <w:szCs w:val="24"/>
        </w:rPr>
        <w:t xml:space="preserve">Mutual Responsibility and Cooperation </w:t>
      </w:r>
      <w:r>
        <w:rPr>
          <w:sz w:val="24"/>
          <w:szCs w:val="24"/>
        </w:rPr>
        <w:t xml:space="preserve">  </w:t>
      </w:r>
    </w:p>
    <w:p w14:paraId="0ACFC6C4" w14:textId="77777777" w:rsidR="00F6528A" w:rsidRDefault="00F6528A" w:rsidP="00F6528A">
      <w:pPr>
        <w:contextualSpacing/>
        <w:rPr>
          <w:sz w:val="24"/>
          <w:szCs w:val="24"/>
        </w:rPr>
      </w:pPr>
    </w:p>
    <w:p w14:paraId="60090CC7" w14:textId="77777777" w:rsidR="00F6528A" w:rsidRDefault="00F6528A" w:rsidP="00F6528A">
      <w:pPr>
        <w:contextualSpacing/>
        <w:rPr>
          <w:sz w:val="24"/>
          <w:szCs w:val="24"/>
        </w:rPr>
      </w:pPr>
      <w:r w:rsidRPr="00791D57">
        <w:rPr>
          <w:rFonts w:cs="Times New Roman"/>
          <w:sz w:val="24"/>
          <w:szCs w:val="24"/>
        </w:rPr>
        <w:t xml:space="preserve">The second element of the </w:t>
      </w:r>
      <w:r>
        <w:rPr>
          <w:rFonts w:cs="Times New Roman"/>
          <w:sz w:val="24"/>
          <w:szCs w:val="24"/>
        </w:rPr>
        <w:t>s</w:t>
      </w:r>
      <w:r w:rsidRPr="00791D57">
        <w:rPr>
          <w:rFonts w:cs="Times New Roman"/>
          <w:sz w:val="24"/>
          <w:szCs w:val="24"/>
        </w:rPr>
        <w:t xml:space="preserve">hared </w:t>
      </w:r>
      <w:r>
        <w:rPr>
          <w:rFonts w:cs="Times New Roman"/>
          <w:sz w:val="24"/>
          <w:szCs w:val="24"/>
        </w:rPr>
        <w:t>v</w:t>
      </w:r>
      <w:r w:rsidRPr="00791D57">
        <w:rPr>
          <w:rFonts w:cs="Times New Roman"/>
          <w:sz w:val="24"/>
          <w:szCs w:val="24"/>
        </w:rPr>
        <w:t xml:space="preserve">ision </w:t>
      </w:r>
      <w:r>
        <w:rPr>
          <w:rFonts w:cs="Times New Roman"/>
          <w:sz w:val="24"/>
          <w:szCs w:val="24"/>
        </w:rPr>
        <w:t xml:space="preserve">– a sense of collective </w:t>
      </w:r>
      <w:r w:rsidRPr="00791D57">
        <w:rPr>
          <w:rFonts w:cs="Times New Roman"/>
          <w:sz w:val="24"/>
          <w:szCs w:val="24"/>
        </w:rPr>
        <w:t xml:space="preserve">responsibility for all children </w:t>
      </w:r>
      <w:r>
        <w:rPr>
          <w:rFonts w:cs="Times New Roman"/>
          <w:sz w:val="24"/>
          <w:szCs w:val="24"/>
        </w:rPr>
        <w:t xml:space="preserve">in </w:t>
      </w:r>
      <w:r w:rsidRPr="00791D57">
        <w:rPr>
          <w:rFonts w:cs="Times New Roman"/>
          <w:sz w:val="24"/>
          <w:szCs w:val="24"/>
        </w:rPr>
        <w:t xml:space="preserve">the local area – also permeated the culture in both boroughs. Leaders sent signals </w:t>
      </w:r>
      <w:r>
        <w:rPr>
          <w:sz w:val="24"/>
          <w:szCs w:val="24"/>
        </w:rPr>
        <w:t xml:space="preserve">that education is a borough-wide system of inter-connected parts, not a collection of free-standing schools, and that everyone in the system – top administrators, headteachers, teachers and staff alike – had a stake in the success of every child. </w:t>
      </w:r>
    </w:p>
    <w:p w14:paraId="563C1FFF" w14:textId="77777777" w:rsidR="00F6528A" w:rsidRDefault="00F6528A" w:rsidP="00F6528A">
      <w:pPr>
        <w:contextualSpacing/>
        <w:rPr>
          <w:sz w:val="24"/>
          <w:szCs w:val="24"/>
        </w:rPr>
      </w:pPr>
    </w:p>
    <w:p w14:paraId="5BA458CB" w14:textId="77777777" w:rsidR="00F6528A" w:rsidRDefault="00F6528A" w:rsidP="00F6528A">
      <w:pPr>
        <w:contextualSpacing/>
        <w:rPr>
          <w:sz w:val="24"/>
          <w:szCs w:val="24"/>
        </w:rPr>
      </w:pPr>
      <w:r>
        <w:rPr>
          <w:rFonts w:cs="Times New Roman"/>
          <w:sz w:val="24"/>
          <w:szCs w:val="24"/>
        </w:rPr>
        <w:t xml:space="preserve">Significantly, </w:t>
      </w:r>
      <w:r>
        <w:rPr>
          <w:sz w:val="24"/>
          <w:szCs w:val="24"/>
        </w:rPr>
        <w:t xml:space="preserve">leaders in both boroughs often described their shared vision in terms of a </w:t>
      </w:r>
      <w:r w:rsidRPr="00243D8C">
        <w:rPr>
          <w:sz w:val="24"/>
          <w:szCs w:val="24"/>
        </w:rPr>
        <w:t>“moral purpose.”</w:t>
      </w:r>
      <w:r>
        <w:rPr>
          <w:b/>
          <w:sz w:val="24"/>
          <w:szCs w:val="24"/>
        </w:rPr>
        <w:t xml:space="preserve"> </w:t>
      </w:r>
      <w:r>
        <w:rPr>
          <w:sz w:val="24"/>
          <w:szCs w:val="24"/>
        </w:rPr>
        <w:t>The tasks of r</w:t>
      </w:r>
      <w:r w:rsidRPr="00F26F5E">
        <w:rPr>
          <w:sz w:val="24"/>
          <w:szCs w:val="24"/>
        </w:rPr>
        <w:t>ai</w:t>
      </w:r>
      <w:r>
        <w:rPr>
          <w:sz w:val="24"/>
          <w:szCs w:val="24"/>
        </w:rPr>
        <w:t xml:space="preserve">sing expectations for all children, improving their academic, social and emotional lives, and narrowing chronic achievement gaps between disadvantaged pupils and more privileged peers were elevated to the level of a moral crusade.  As Alan Wood of the Learning Trust put it in an interview, “We are acting from a moral imperative.” Likewise, the establishment of culture of collaboration and mutual responsibility for the flourishing of every child in the borough was viewed as an ethical imperative. “Schools in Hackney are like a family,” said Nicole Reid, head teacher at Shacklewell Primary School. “We share a common purpose – a moral purpose.” </w:t>
      </w:r>
    </w:p>
    <w:p w14:paraId="4AEF57CF" w14:textId="77777777" w:rsidR="00F6528A" w:rsidRPr="00243D8C" w:rsidRDefault="00F6528A" w:rsidP="00F6528A">
      <w:pPr>
        <w:contextualSpacing/>
        <w:rPr>
          <w:sz w:val="24"/>
          <w:szCs w:val="24"/>
        </w:rPr>
      </w:pPr>
    </w:p>
    <w:p w14:paraId="5B0887E6" w14:textId="77777777" w:rsidR="00F6528A" w:rsidRPr="00243D8C" w:rsidRDefault="00F6528A" w:rsidP="00F6528A">
      <w:pPr>
        <w:contextualSpacing/>
        <w:rPr>
          <w:sz w:val="24"/>
          <w:szCs w:val="24"/>
        </w:rPr>
      </w:pPr>
    </w:p>
    <w:p w14:paraId="71526B60" w14:textId="77777777" w:rsidR="00F6528A" w:rsidRDefault="00F6528A" w:rsidP="00F6528A">
      <w:pPr>
        <w:contextualSpacing/>
        <w:jc w:val="both"/>
        <w:rPr>
          <w:b/>
          <w:sz w:val="32"/>
          <w:szCs w:val="32"/>
        </w:rPr>
      </w:pPr>
      <w:r>
        <w:rPr>
          <w:b/>
          <w:sz w:val="32"/>
          <w:szCs w:val="32"/>
        </w:rPr>
        <w:t>Implementing the sh</w:t>
      </w:r>
      <w:r w:rsidRPr="00A9162A">
        <w:rPr>
          <w:b/>
          <w:sz w:val="32"/>
          <w:szCs w:val="32"/>
        </w:rPr>
        <w:t xml:space="preserve">ared </w:t>
      </w:r>
      <w:r>
        <w:rPr>
          <w:b/>
          <w:sz w:val="32"/>
          <w:szCs w:val="32"/>
        </w:rPr>
        <w:t>v</w:t>
      </w:r>
      <w:r w:rsidRPr="00A9162A">
        <w:rPr>
          <w:b/>
          <w:sz w:val="32"/>
          <w:szCs w:val="32"/>
        </w:rPr>
        <w:t xml:space="preserve">ision: </w:t>
      </w:r>
      <w:r>
        <w:rPr>
          <w:b/>
          <w:sz w:val="32"/>
          <w:szCs w:val="32"/>
        </w:rPr>
        <w:t>l</w:t>
      </w:r>
      <w:r w:rsidRPr="00A9162A">
        <w:rPr>
          <w:b/>
          <w:sz w:val="32"/>
          <w:szCs w:val="32"/>
        </w:rPr>
        <w:t>eadership</w:t>
      </w:r>
      <w:r>
        <w:rPr>
          <w:b/>
          <w:sz w:val="32"/>
          <w:szCs w:val="32"/>
        </w:rPr>
        <w:t xml:space="preserve"> and commitment at the school level</w:t>
      </w:r>
    </w:p>
    <w:p w14:paraId="01EE4681" w14:textId="77777777" w:rsidR="00F6528A" w:rsidRDefault="00F6528A" w:rsidP="00F6528A">
      <w:pPr>
        <w:contextualSpacing/>
        <w:jc w:val="both"/>
        <w:rPr>
          <w:b/>
          <w:sz w:val="32"/>
          <w:szCs w:val="32"/>
        </w:rPr>
      </w:pPr>
    </w:p>
    <w:p w14:paraId="2D136375" w14:textId="77777777" w:rsidR="00F6528A" w:rsidRDefault="00F6528A" w:rsidP="00F6528A">
      <w:pPr>
        <w:contextualSpacing/>
        <w:rPr>
          <w:sz w:val="24"/>
          <w:szCs w:val="24"/>
        </w:rPr>
      </w:pPr>
      <w:r w:rsidRPr="00A234A9">
        <w:rPr>
          <w:sz w:val="24"/>
          <w:szCs w:val="24"/>
        </w:rPr>
        <w:t xml:space="preserve">Individual schools have significant </w:t>
      </w:r>
      <w:r>
        <w:rPr>
          <w:sz w:val="24"/>
          <w:szCs w:val="24"/>
        </w:rPr>
        <w:t xml:space="preserve">autonomy within the current English school system. Each school </w:t>
      </w:r>
      <w:r w:rsidRPr="00F93563">
        <w:rPr>
          <w:sz w:val="24"/>
          <w:szCs w:val="24"/>
        </w:rPr>
        <w:t xml:space="preserve">has a governing board </w:t>
      </w:r>
      <w:r>
        <w:rPr>
          <w:sz w:val="24"/>
          <w:szCs w:val="24"/>
        </w:rPr>
        <w:t xml:space="preserve">composed </w:t>
      </w:r>
      <w:r w:rsidRPr="00F93563">
        <w:rPr>
          <w:sz w:val="24"/>
          <w:szCs w:val="24"/>
        </w:rPr>
        <w:t>of parents, staff, community members, and representatives of the local authority</w:t>
      </w:r>
      <w:r>
        <w:rPr>
          <w:sz w:val="24"/>
          <w:szCs w:val="24"/>
        </w:rPr>
        <w:t xml:space="preserve"> that is responsible for setting strategic goals, holding the headteacher to account, and assuring that the school spends money productively.  At the same time, the schools are constrained in various ways by higher level authorities. All state funded schools are subject to periodic Ofsted inspections and to national testing and, unless they are academies, are part of the system of schools for which the borough has responsibility.   </w:t>
      </w:r>
    </w:p>
    <w:p w14:paraId="5BDB59DE" w14:textId="77777777" w:rsidR="00F6528A" w:rsidRDefault="00F6528A" w:rsidP="00F6528A">
      <w:pPr>
        <w:contextualSpacing/>
        <w:rPr>
          <w:sz w:val="24"/>
          <w:szCs w:val="24"/>
        </w:rPr>
      </w:pPr>
    </w:p>
    <w:p w14:paraId="09138CBE" w14:textId="77777777" w:rsidR="00F6528A" w:rsidRDefault="00F6528A" w:rsidP="00F6528A">
      <w:pPr>
        <w:contextualSpacing/>
        <w:rPr>
          <w:sz w:val="24"/>
          <w:szCs w:val="24"/>
        </w:rPr>
      </w:pPr>
      <w:r>
        <w:rPr>
          <w:sz w:val="24"/>
          <w:szCs w:val="24"/>
        </w:rPr>
        <w:t xml:space="preserve">As a former headteacher, Christine Gilbert clearly understood the importance of making sure that headteachers shared her vision of education for Tower Hamlets and were prepared to do the hard work necessary to realize it. “The key barrier was raising headteachers’ aspirations,” she told us. “Once you get the headteachers thinking, they will find a way.” She added that early in her tenure she spent six months “talking to everyone” about her goals because, as she put it, “expectations had to be owned by the community.” Gilbert also made it clear that any </w:t>
      </w:r>
      <w:r>
        <w:rPr>
          <w:sz w:val="24"/>
          <w:szCs w:val="24"/>
        </w:rPr>
        <w:lastRenderedPageBreak/>
        <w:t xml:space="preserve">headteachers who were unwilling or unable to step up to the task should look for another job. In the process, a significant number of headteachers were essentially fired (Parkin interview).  She translated borough-wide achievement targets set by the national government into school-level targets and used them to put pressure on the schools to perform. The goal was not to punish those that fell short but rather to work with them to do better. In the end, she noted in our conversation, she set local targets higher than the national ones. </w:t>
      </w:r>
    </w:p>
    <w:p w14:paraId="4E0B0880" w14:textId="77777777" w:rsidR="00F6528A" w:rsidRDefault="00F6528A" w:rsidP="00F6528A">
      <w:pPr>
        <w:contextualSpacing/>
        <w:rPr>
          <w:sz w:val="24"/>
          <w:szCs w:val="24"/>
        </w:rPr>
      </w:pPr>
    </w:p>
    <w:p w14:paraId="1944B960" w14:textId="4E346EA3" w:rsidR="00F6528A" w:rsidRDefault="00F6528A" w:rsidP="00F6528A">
      <w:pPr>
        <w:contextualSpacing/>
        <w:rPr>
          <w:sz w:val="24"/>
          <w:szCs w:val="24"/>
        </w:rPr>
      </w:pPr>
      <w:r>
        <w:rPr>
          <w:sz w:val="24"/>
          <w:szCs w:val="24"/>
        </w:rPr>
        <w:t xml:space="preserve">One arrow in Gilbert’s administrative quiver was the Labour government’s National Literacy Strategy, which </w:t>
      </w:r>
      <w:r w:rsidR="00674D8C">
        <w:rPr>
          <w:sz w:val="24"/>
          <w:szCs w:val="24"/>
        </w:rPr>
        <w:t xml:space="preserve">was rolled out nationally starting in 1998 but which had been piloted earlier </w:t>
      </w:r>
      <w:r w:rsidR="002043C0">
        <w:rPr>
          <w:sz w:val="24"/>
          <w:szCs w:val="24"/>
        </w:rPr>
        <w:t xml:space="preserve">by the previous government </w:t>
      </w:r>
      <w:r w:rsidR="00674D8C">
        <w:rPr>
          <w:sz w:val="24"/>
          <w:szCs w:val="24"/>
        </w:rPr>
        <w:t xml:space="preserve">in Tower Hamlets as part of the National Literacy Project. </w:t>
      </w:r>
      <w:r>
        <w:rPr>
          <w:sz w:val="24"/>
          <w:szCs w:val="24"/>
        </w:rPr>
        <w:t xml:space="preserve">Gilbert used the resulting additional support staff that came as part of the pilot project to demonstrate the power of a structured approach to teaching literacy and convince local educators that all children can learn. </w:t>
      </w:r>
      <w:r w:rsidRPr="00634EC6">
        <w:rPr>
          <w:sz w:val="24"/>
          <w:szCs w:val="24"/>
        </w:rPr>
        <w:t>Martin Tune, headteacher at Bonner Primary School in Tower Hamlets since 1995</w:t>
      </w:r>
      <w:r>
        <w:rPr>
          <w:sz w:val="24"/>
          <w:szCs w:val="24"/>
        </w:rPr>
        <w:t>,</w:t>
      </w:r>
      <w:r w:rsidRPr="00634EC6">
        <w:rPr>
          <w:sz w:val="24"/>
          <w:szCs w:val="24"/>
        </w:rPr>
        <w:t xml:space="preserve"> confirmed </w:t>
      </w:r>
      <w:r>
        <w:rPr>
          <w:sz w:val="24"/>
          <w:szCs w:val="24"/>
        </w:rPr>
        <w:t xml:space="preserve">in an interview </w:t>
      </w:r>
      <w:r w:rsidRPr="00634EC6">
        <w:rPr>
          <w:sz w:val="24"/>
          <w:szCs w:val="24"/>
        </w:rPr>
        <w:t xml:space="preserve">the significance of the new attention to literacy.  “We looked at the pilot literacy materials and said that for the next year we would focus on aspects of literacy, including reading. We targeted a few children and found the way to make a difference. So we raised expectations for more students. We went from 19 to 52 percent of pupils at grade level, and the next year we were above the national average. We had to work differently because we were working in different circumstances. We learned to look at every child individually, to look at what they could do, not what they can’t do “ </w:t>
      </w:r>
      <w:r w:rsidR="00674D8C">
        <w:rPr>
          <w:rStyle w:val="FootnoteReference"/>
          <w:sz w:val="24"/>
          <w:szCs w:val="24"/>
        </w:rPr>
        <w:footnoteReference w:id="18"/>
      </w:r>
      <w:r w:rsidR="00001189">
        <w:rPr>
          <w:sz w:val="24"/>
          <w:szCs w:val="24"/>
        </w:rPr>
        <w:t xml:space="preserve"> </w:t>
      </w:r>
    </w:p>
    <w:p w14:paraId="7D993404" w14:textId="77777777" w:rsidR="00C763B9" w:rsidRDefault="00C763B9" w:rsidP="00F6528A">
      <w:pPr>
        <w:contextualSpacing/>
        <w:rPr>
          <w:b/>
          <w:sz w:val="28"/>
          <w:szCs w:val="28"/>
        </w:rPr>
      </w:pPr>
    </w:p>
    <w:p w14:paraId="7C886619" w14:textId="21DF4FAC" w:rsidR="00F6528A" w:rsidRDefault="004F5A50" w:rsidP="00F6528A">
      <w:pPr>
        <w:contextualSpacing/>
        <w:rPr>
          <w:sz w:val="24"/>
          <w:szCs w:val="24"/>
        </w:rPr>
      </w:pPr>
      <w:r>
        <w:rPr>
          <w:sz w:val="24"/>
          <w:szCs w:val="24"/>
        </w:rPr>
        <w:t xml:space="preserve">Although </w:t>
      </w:r>
      <w:r w:rsidR="00F6528A">
        <w:rPr>
          <w:sz w:val="24"/>
          <w:szCs w:val="24"/>
        </w:rPr>
        <w:t>Hackney</w:t>
      </w:r>
      <w:r>
        <w:rPr>
          <w:sz w:val="24"/>
          <w:szCs w:val="24"/>
        </w:rPr>
        <w:t xml:space="preserve"> was slower to achieve the goal of the shared vision</w:t>
      </w:r>
      <w:r w:rsidR="005349C7">
        <w:rPr>
          <w:sz w:val="24"/>
          <w:szCs w:val="24"/>
        </w:rPr>
        <w:t>,</w:t>
      </w:r>
      <w:r>
        <w:rPr>
          <w:sz w:val="24"/>
          <w:szCs w:val="24"/>
        </w:rPr>
        <w:t xml:space="preserve"> as </w:t>
      </w:r>
      <w:r w:rsidR="00F6528A">
        <w:rPr>
          <w:sz w:val="24"/>
          <w:szCs w:val="24"/>
        </w:rPr>
        <w:t>is evident from the summary of the Ofsted school evaluations reported in Table 4</w:t>
      </w:r>
      <w:r>
        <w:rPr>
          <w:sz w:val="24"/>
          <w:szCs w:val="24"/>
        </w:rPr>
        <w:t xml:space="preserve"> above, its leaders understood the importance of strong leadership within schools.  A review </w:t>
      </w:r>
      <w:r w:rsidR="00F6528A">
        <w:rPr>
          <w:sz w:val="24"/>
          <w:szCs w:val="24"/>
        </w:rPr>
        <w:t>of the inspection reports of the Hackney primary schools that improved during the period shows that the Ofsted inspectors frequently cited strong leadership as the key driver of progress. In the box that follows we highlight some illustrative examples of Ofsted</w:t>
      </w:r>
      <w:r>
        <w:rPr>
          <w:sz w:val="24"/>
          <w:szCs w:val="24"/>
        </w:rPr>
        <w:t xml:space="preserve"> </w:t>
      </w:r>
      <w:r w:rsidR="00F6528A">
        <w:rPr>
          <w:sz w:val="24"/>
          <w:szCs w:val="24"/>
        </w:rPr>
        <w:t xml:space="preserve">praise for headteachers who promoted a common purpose within their schools, set high expectations for pupil performance and established systems to ensure that these expectations were met. </w:t>
      </w:r>
    </w:p>
    <w:p w14:paraId="17C1BF33" w14:textId="77777777" w:rsidR="00F6528A" w:rsidRDefault="00F6528A" w:rsidP="00F6528A">
      <w:pPr>
        <w:contextualSpacing/>
        <w:rPr>
          <w:sz w:val="24"/>
          <w:szCs w:val="24"/>
        </w:rPr>
      </w:pPr>
    </w:p>
    <w:p w14:paraId="7ED0D393" w14:textId="77777777" w:rsidR="00F6528A" w:rsidRDefault="00F6528A" w:rsidP="00F6528A">
      <w:pPr>
        <w:contextualSpacing/>
        <w:rPr>
          <w:sz w:val="24"/>
          <w:szCs w:val="24"/>
        </w:rPr>
      </w:pPr>
      <w:r>
        <w:rPr>
          <w:sz w:val="24"/>
          <w:szCs w:val="24"/>
        </w:rPr>
        <w:t xml:space="preserve">Schools in both boroughs place a large emphasis on providing professional support for teachers, typically including giving teachers a half a day of planning time each week. Teaching and learning coaches often spend time supporting teachers, and new teachers frequently observe classes taught by experienced colleagues. </w:t>
      </w:r>
    </w:p>
    <w:p w14:paraId="0073A774" w14:textId="37F7D1B0" w:rsidR="00C96E09" w:rsidRDefault="00C96E09" w:rsidP="00C96E09">
      <w:pPr>
        <w:rPr>
          <w:b/>
          <w:sz w:val="28"/>
          <w:szCs w:val="28"/>
        </w:rPr>
      </w:pPr>
      <w:r>
        <w:rPr>
          <w:b/>
          <w:sz w:val="28"/>
          <w:szCs w:val="28"/>
        </w:rPr>
        <w:lastRenderedPageBreak/>
        <w:t>___________________________________________________________________</w:t>
      </w:r>
    </w:p>
    <w:p w14:paraId="333A2AA6" w14:textId="36CD639F" w:rsidR="00F6528A" w:rsidRPr="00F62E28" w:rsidRDefault="00F6528A" w:rsidP="00F6528A">
      <w:pPr>
        <w:jc w:val="center"/>
        <w:rPr>
          <w:b/>
          <w:sz w:val="28"/>
          <w:szCs w:val="28"/>
        </w:rPr>
      </w:pPr>
      <w:r>
        <w:rPr>
          <w:b/>
          <w:sz w:val="28"/>
          <w:szCs w:val="28"/>
        </w:rPr>
        <w:t>BOX.  How strong leadership drove school improvement in Hackney</w:t>
      </w:r>
    </w:p>
    <w:p w14:paraId="5982FCBE" w14:textId="1C055AD5" w:rsidR="00F6528A" w:rsidRDefault="00F6528A" w:rsidP="00F6528A">
      <w:pPr>
        <w:rPr>
          <w:rFonts w:cs="Times New Roman"/>
          <w:sz w:val="24"/>
          <w:szCs w:val="24"/>
        </w:rPr>
      </w:pPr>
      <w:r>
        <w:rPr>
          <w:rFonts w:cs="Times New Roman"/>
          <w:sz w:val="24"/>
          <w:szCs w:val="24"/>
        </w:rPr>
        <w:t xml:space="preserve">Excerpts from </w:t>
      </w:r>
      <w:r w:rsidRPr="0010601C">
        <w:rPr>
          <w:rFonts w:cs="Times New Roman"/>
          <w:sz w:val="24"/>
          <w:szCs w:val="24"/>
        </w:rPr>
        <w:t xml:space="preserve">Ofsted </w:t>
      </w:r>
      <w:r>
        <w:rPr>
          <w:rFonts w:cs="Times New Roman"/>
          <w:sz w:val="24"/>
          <w:szCs w:val="24"/>
        </w:rPr>
        <w:t xml:space="preserve">school </w:t>
      </w:r>
      <w:r w:rsidRPr="0010601C">
        <w:rPr>
          <w:rFonts w:cs="Times New Roman"/>
          <w:sz w:val="24"/>
          <w:szCs w:val="24"/>
        </w:rPr>
        <w:t xml:space="preserve">reports </w:t>
      </w:r>
      <w:r>
        <w:rPr>
          <w:rFonts w:cs="Times New Roman"/>
          <w:sz w:val="24"/>
          <w:szCs w:val="24"/>
        </w:rPr>
        <w:t xml:space="preserve">in Hackney </w:t>
      </w:r>
      <w:r w:rsidRPr="0010601C">
        <w:rPr>
          <w:rFonts w:cs="Times New Roman"/>
          <w:sz w:val="24"/>
          <w:szCs w:val="24"/>
        </w:rPr>
        <w:t>illustrate the</w:t>
      </w:r>
      <w:r>
        <w:rPr>
          <w:rFonts w:cs="Times New Roman"/>
          <w:sz w:val="24"/>
          <w:szCs w:val="24"/>
        </w:rPr>
        <w:t xml:space="preserve"> importance of strong leadership</w:t>
      </w:r>
      <w:r w:rsidRPr="0010601C">
        <w:rPr>
          <w:rFonts w:cs="Times New Roman"/>
          <w:sz w:val="24"/>
          <w:szCs w:val="24"/>
        </w:rPr>
        <w:t xml:space="preserve"> </w:t>
      </w:r>
      <w:r>
        <w:rPr>
          <w:rFonts w:cs="Times New Roman"/>
          <w:sz w:val="24"/>
          <w:szCs w:val="24"/>
        </w:rPr>
        <w:t xml:space="preserve">in driving school improvement and achieving higher ratings. </w:t>
      </w:r>
      <w:r w:rsidR="00001189">
        <w:rPr>
          <w:rFonts w:cs="Times New Roman"/>
          <w:sz w:val="24"/>
          <w:szCs w:val="24"/>
        </w:rPr>
        <w:t xml:space="preserve">In each case, the quotes come from reports in the more recent of the two years mentioned. </w:t>
      </w:r>
      <w:r w:rsidRPr="0010601C">
        <w:rPr>
          <w:rFonts w:cs="Times New Roman"/>
          <w:sz w:val="24"/>
          <w:szCs w:val="24"/>
        </w:rPr>
        <w:t xml:space="preserve"> </w:t>
      </w:r>
    </w:p>
    <w:p w14:paraId="1126E815" w14:textId="77777777" w:rsidR="00F6528A" w:rsidRDefault="00F6528A" w:rsidP="00F6528A">
      <w:pPr>
        <w:contextualSpacing/>
        <w:rPr>
          <w:sz w:val="24"/>
          <w:szCs w:val="24"/>
        </w:rPr>
      </w:pPr>
      <w:r w:rsidRPr="0010601C">
        <w:rPr>
          <w:b/>
          <w:sz w:val="24"/>
          <w:szCs w:val="24"/>
        </w:rPr>
        <w:t>William Patten Primary School</w:t>
      </w:r>
      <w:r>
        <w:rPr>
          <w:b/>
          <w:sz w:val="24"/>
          <w:szCs w:val="24"/>
        </w:rPr>
        <w:t xml:space="preserve"> </w:t>
      </w:r>
      <w:r w:rsidRPr="00414394">
        <w:rPr>
          <w:sz w:val="24"/>
          <w:szCs w:val="24"/>
        </w:rPr>
        <w:t>(</w:t>
      </w:r>
      <w:r>
        <w:rPr>
          <w:sz w:val="24"/>
          <w:szCs w:val="24"/>
        </w:rPr>
        <w:t xml:space="preserve">Rating of 3 </w:t>
      </w:r>
      <w:r w:rsidRPr="0010601C">
        <w:rPr>
          <w:sz w:val="24"/>
          <w:szCs w:val="24"/>
        </w:rPr>
        <w:t>in 2004 to 2</w:t>
      </w:r>
      <w:r>
        <w:rPr>
          <w:sz w:val="24"/>
          <w:szCs w:val="24"/>
        </w:rPr>
        <w:t xml:space="preserve"> in 2008)</w:t>
      </w:r>
      <w:r w:rsidRPr="0010601C">
        <w:rPr>
          <w:sz w:val="24"/>
          <w:szCs w:val="24"/>
        </w:rPr>
        <w:t xml:space="preserve"> “The school has moved forward under the strong leadership of the h</w:t>
      </w:r>
      <w:r>
        <w:rPr>
          <w:sz w:val="24"/>
          <w:szCs w:val="24"/>
        </w:rPr>
        <w:t xml:space="preserve">eadteacher and the senior staff, </w:t>
      </w:r>
      <w:r w:rsidRPr="0010601C">
        <w:rPr>
          <w:sz w:val="24"/>
          <w:szCs w:val="24"/>
        </w:rPr>
        <w:t>and it is in a good position to improve further. Along with her senior leadership team, she has instilled a common purpose amongst all the staff to raise standards.”</w:t>
      </w:r>
      <w:r>
        <w:rPr>
          <w:sz w:val="24"/>
          <w:szCs w:val="24"/>
        </w:rPr>
        <w:t xml:space="preserve"> </w:t>
      </w:r>
    </w:p>
    <w:p w14:paraId="1CA2260D" w14:textId="77777777" w:rsidR="00F6528A" w:rsidRPr="0010601C" w:rsidRDefault="00F6528A" w:rsidP="00F6528A">
      <w:pPr>
        <w:contextualSpacing/>
        <w:rPr>
          <w:sz w:val="24"/>
          <w:szCs w:val="24"/>
        </w:rPr>
      </w:pPr>
      <w:r>
        <w:rPr>
          <w:sz w:val="24"/>
          <w:szCs w:val="24"/>
        </w:rPr>
        <w:t xml:space="preserve">(Rating of 2 in 2008 to </w:t>
      </w:r>
      <w:r w:rsidRPr="0010601C">
        <w:rPr>
          <w:sz w:val="24"/>
          <w:szCs w:val="24"/>
        </w:rPr>
        <w:t>1 in 2012</w:t>
      </w:r>
      <w:r>
        <w:rPr>
          <w:sz w:val="24"/>
          <w:szCs w:val="24"/>
        </w:rPr>
        <w:t xml:space="preserve">) </w:t>
      </w:r>
      <w:r w:rsidRPr="0010601C">
        <w:rPr>
          <w:sz w:val="24"/>
          <w:szCs w:val="24"/>
        </w:rPr>
        <w:t>“The senior leadership team and governors have a clear vision and relentless drive to improve standards through systems for checking and assessing the daily practice within the school</w:t>
      </w:r>
      <w:r>
        <w:rPr>
          <w:sz w:val="24"/>
          <w:szCs w:val="24"/>
        </w:rPr>
        <w:t>.”</w:t>
      </w:r>
    </w:p>
    <w:p w14:paraId="139A91F3" w14:textId="77777777" w:rsidR="00F6528A" w:rsidRPr="0010601C" w:rsidRDefault="00F6528A" w:rsidP="00F6528A">
      <w:pPr>
        <w:ind w:left="720"/>
        <w:contextualSpacing/>
        <w:rPr>
          <w:sz w:val="24"/>
          <w:szCs w:val="24"/>
        </w:rPr>
      </w:pPr>
    </w:p>
    <w:p w14:paraId="2BDDC6DC" w14:textId="77777777" w:rsidR="00F6528A" w:rsidRPr="0010601C" w:rsidRDefault="00F6528A" w:rsidP="00F6528A">
      <w:pPr>
        <w:contextualSpacing/>
        <w:rPr>
          <w:sz w:val="24"/>
          <w:szCs w:val="24"/>
        </w:rPr>
      </w:pPr>
      <w:r w:rsidRPr="0010601C">
        <w:rPr>
          <w:b/>
          <w:sz w:val="24"/>
          <w:szCs w:val="24"/>
        </w:rPr>
        <w:t>Thomas Abney School</w:t>
      </w:r>
      <w:r>
        <w:rPr>
          <w:b/>
          <w:sz w:val="24"/>
          <w:szCs w:val="24"/>
        </w:rPr>
        <w:t xml:space="preserve"> </w:t>
      </w:r>
      <w:r>
        <w:rPr>
          <w:sz w:val="24"/>
          <w:szCs w:val="24"/>
        </w:rPr>
        <w:t xml:space="preserve">(Rating of 3 </w:t>
      </w:r>
      <w:r w:rsidRPr="0010601C">
        <w:rPr>
          <w:sz w:val="24"/>
          <w:szCs w:val="24"/>
        </w:rPr>
        <w:t>in 2001 to 2 in 2007</w:t>
      </w:r>
      <w:r>
        <w:rPr>
          <w:sz w:val="24"/>
          <w:szCs w:val="24"/>
        </w:rPr>
        <w:t xml:space="preserve">) </w:t>
      </w:r>
      <w:r w:rsidRPr="0010601C">
        <w:rPr>
          <w:sz w:val="24"/>
          <w:szCs w:val="24"/>
        </w:rPr>
        <w:t>“The headteacher leads the school with exemplary drive, commitment and enthusiasm. She has built an informed and effective leadership team whose work has a strong impact on pupils’ progress and personal development. For instance, senior leaders’ rigorous checks on the quality of teaching followed by support where needed have raised learning to a consistently good level and helped reduce the disadvantage of the high staff turnover.”</w:t>
      </w:r>
    </w:p>
    <w:p w14:paraId="7622A682" w14:textId="77777777" w:rsidR="00F6528A" w:rsidRDefault="00F6528A" w:rsidP="00F6528A">
      <w:pPr>
        <w:contextualSpacing/>
        <w:rPr>
          <w:b/>
          <w:sz w:val="24"/>
          <w:szCs w:val="24"/>
        </w:rPr>
      </w:pPr>
    </w:p>
    <w:p w14:paraId="2A5AB919" w14:textId="77777777" w:rsidR="00F6528A" w:rsidRPr="0010601C" w:rsidRDefault="00F6528A" w:rsidP="00F6528A">
      <w:pPr>
        <w:contextualSpacing/>
        <w:rPr>
          <w:sz w:val="24"/>
          <w:szCs w:val="24"/>
        </w:rPr>
      </w:pPr>
      <w:r w:rsidRPr="0010601C">
        <w:rPr>
          <w:b/>
          <w:sz w:val="24"/>
          <w:szCs w:val="24"/>
        </w:rPr>
        <w:t>Nightingale Primary School</w:t>
      </w:r>
      <w:r>
        <w:rPr>
          <w:b/>
          <w:sz w:val="24"/>
          <w:szCs w:val="24"/>
        </w:rPr>
        <w:t xml:space="preserve"> </w:t>
      </w:r>
      <w:r>
        <w:rPr>
          <w:sz w:val="24"/>
          <w:szCs w:val="24"/>
        </w:rPr>
        <w:t xml:space="preserve">(Rating of 3 in 2007 to 2 in 2010). </w:t>
      </w:r>
      <w:r w:rsidRPr="0010601C">
        <w:rPr>
          <w:sz w:val="24"/>
          <w:szCs w:val="24"/>
        </w:rPr>
        <w:t>“The headteacher’s good leadership has been a key factor in the success of the school. She has promoted a strong sense of common purpose</w:t>
      </w:r>
      <w:r>
        <w:rPr>
          <w:sz w:val="24"/>
          <w:szCs w:val="24"/>
        </w:rPr>
        <w:t>,</w:t>
      </w:r>
      <w:r w:rsidRPr="0010601C">
        <w:rPr>
          <w:sz w:val="24"/>
          <w:szCs w:val="24"/>
        </w:rPr>
        <w:t xml:space="preserve"> so all are clear about the school’s key priorities.”</w:t>
      </w:r>
    </w:p>
    <w:p w14:paraId="757BAEE6" w14:textId="77777777" w:rsidR="00F6528A" w:rsidRPr="00DE77E6" w:rsidRDefault="00F6528A" w:rsidP="00F6528A">
      <w:pPr>
        <w:contextualSpacing/>
        <w:rPr>
          <w:b/>
          <w:sz w:val="24"/>
          <w:szCs w:val="24"/>
        </w:rPr>
      </w:pPr>
    </w:p>
    <w:p w14:paraId="24F19DF3" w14:textId="77777777" w:rsidR="00F6528A" w:rsidRDefault="00F6528A" w:rsidP="00F6528A">
      <w:pPr>
        <w:contextualSpacing/>
        <w:rPr>
          <w:sz w:val="24"/>
          <w:szCs w:val="24"/>
        </w:rPr>
      </w:pPr>
      <w:r w:rsidRPr="0010601C">
        <w:rPr>
          <w:b/>
          <w:sz w:val="24"/>
          <w:szCs w:val="24"/>
        </w:rPr>
        <w:t>London Fields Primary School</w:t>
      </w:r>
      <w:r>
        <w:rPr>
          <w:b/>
          <w:sz w:val="24"/>
          <w:szCs w:val="24"/>
        </w:rPr>
        <w:t xml:space="preserve"> </w:t>
      </w:r>
      <w:r>
        <w:rPr>
          <w:sz w:val="24"/>
          <w:szCs w:val="24"/>
        </w:rPr>
        <w:t xml:space="preserve">(Rating of 4 in 2007 to 2 in 2008) </w:t>
      </w:r>
      <w:r w:rsidRPr="0010601C">
        <w:rPr>
          <w:sz w:val="24"/>
          <w:szCs w:val="24"/>
        </w:rPr>
        <w:t>“Since September 2008, the school has been operating in close partnership with a highly successful primary school. Many leaders and experienced teachers, including the new executive principal, head of school, deputy and assistant head</w:t>
      </w:r>
      <w:r>
        <w:rPr>
          <w:sz w:val="24"/>
          <w:szCs w:val="24"/>
        </w:rPr>
        <w:t>,</w:t>
      </w:r>
      <w:r w:rsidRPr="0010601C">
        <w:rPr>
          <w:sz w:val="24"/>
          <w:szCs w:val="24"/>
        </w:rPr>
        <w:t xml:space="preserve"> have transferred to the school and brought with them effective systems based on best practice.”</w:t>
      </w:r>
      <w:r>
        <w:rPr>
          <w:sz w:val="24"/>
          <w:szCs w:val="24"/>
        </w:rPr>
        <w:t xml:space="preserve"> </w:t>
      </w:r>
    </w:p>
    <w:p w14:paraId="6445386F" w14:textId="09D1D47D" w:rsidR="00F6528A" w:rsidRDefault="00F6528A" w:rsidP="00F6528A">
      <w:pPr>
        <w:contextualSpacing/>
        <w:rPr>
          <w:sz w:val="24"/>
          <w:szCs w:val="24"/>
        </w:rPr>
      </w:pPr>
      <w:r>
        <w:rPr>
          <w:sz w:val="24"/>
          <w:szCs w:val="24"/>
        </w:rPr>
        <w:t>(Rating of 2 in 2008 to 1 in 2011) “</w:t>
      </w:r>
      <w:r w:rsidRPr="0010601C">
        <w:rPr>
          <w:sz w:val="24"/>
          <w:szCs w:val="24"/>
        </w:rPr>
        <w:t>The senior leadership team and other leaders and managers have inspired the school community to create a common sense of drive and purpose</w:t>
      </w:r>
      <w:r w:rsidR="001E40FE">
        <w:rPr>
          <w:sz w:val="24"/>
          <w:szCs w:val="24"/>
        </w:rPr>
        <w:t xml:space="preserve">. </w:t>
      </w:r>
      <w:r w:rsidRPr="0010601C">
        <w:rPr>
          <w:sz w:val="24"/>
          <w:szCs w:val="24"/>
        </w:rPr>
        <w:t>The governing body has played a key role in articulating this vision; it has shown itself prepared to take tough decisions and is totally clear about the outcomes it wants for pupils.”</w:t>
      </w:r>
    </w:p>
    <w:p w14:paraId="4E92ED43" w14:textId="77777777" w:rsidR="00F6528A" w:rsidRPr="0010601C" w:rsidRDefault="00F6528A" w:rsidP="00F6528A">
      <w:pPr>
        <w:contextualSpacing/>
        <w:rPr>
          <w:sz w:val="24"/>
          <w:szCs w:val="24"/>
        </w:rPr>
      </w:pPr>
    </w:p>
    <w:p w14:paraId="75A5159A" w14:textId="77777777" w:rsidR="00F6528A" w:rsidRPr="0010601C" w:rsidRDefault="00F6528A" w:rsidP="00F6528A">
      <w:pPr>
        <w:contextualSpacing/>
        <w:rPr>
          <w:b/>
          <w:sz w:val="24"/>
          <w:szCs w:val="24"/>
        </w:rPr>
      </w:pPr>
      <w:r>
        <w:rPr>
          <w:b/>
          <w:sz w:val="24"/>
          <w:szCs w:val="24"/>
        </w:rPr>
        <w:t>Grazebrook Primary S</w:t>
      </w:r>
      <w:r w:rsidRPr="0010601C">
        <w:rPr>
          <w:b/>
          <w:sz w:val="24"/>
          <w:szCs w:val="24"/>
        </w:rPr>
        <w:t>chool</w:t>
      </w:r>
      <w:r>
        <w:rPr>
          <w:b/>
          <w:sz w:val="24"/>
          <w:szCs w:val="24"/>
        </w:rPr>
        <w:t xml:space="preserve"> </w:t>
      </w:r>
      <w:r>
        <w:rPr>
          <w:sz w:val="24"/>
          <w:szCs w:val="24"/>
        </w:rPr>
        <w:t xml:space="preserve">(Rating of </w:t>
      </w:r>
      <w:r w:rsidRPr="0010601C">
        <w:rPr>
          <w:sz w:val="24"/>
          <w:szCs w:val="24"/>
        </w:rPr>
        <w:t>4 in 2008 to 2 in 2009</w:t>
      </w:r>
      <w:r>
        <w:rPr>
          <w:sz w:val="24"/>
          <w:szCs w:val="24"/>
        </w:rPr>
        <w:t>)</w:t>
      </w:r>
      <w:r w:rsidRPr="0010601C">
        <w:rPr>
          <w:sz w:val="24"/>
          <w:szCs w:val="24"/>
        </w:rPr>
        <w:t xml:space="preserve"> “The new headteacher provi</w:t>
      </w:r>
      <w:r>
        <w:rPr>
          <w:sz w:val="24"/>
          <w:szCs w:val="24"/>
        </w:rPr>
        <w:t>des a very clear direction…. (She) h</w:t>
      </w:r>
      <w:r w:rsidRPr="0010601C">
        <w:rPr>
          <w:sz w:val="24"/>
          <w:szCs w:val="24"/>
        </w:rPr>
        <w:t xml:space="preserve">as used the challenge and support provided by the local authority </w:t>
      </w:r>
      <w:r w:rsidRPr="0010601C">
        <w:rPr>
          <w:sz w:val="24"/>
          <w:szCs w:val="24"/>
        </w:rPr>
        <w:lastRenderedPageBreak/>
        <w:t>to help create a leadership team which</w:t>
      </w:r>
      <w:r>
        <w:rPr>
          <w:sz w:val="24"/>
          <w:szCs w:val="24"/>
        </w:rPr>
        <w:t xml:space="preserve"> demonstrates significant influence and has </w:t>
      </w:r>
      <w:r w:rsidRPr="0010601C">
        <w:rPr>
          <w:sz w:val="24"/>
          <w:szCs w:val="24"/>
        </w:rPr>
        <w:t>a positive impact in all areas of school life…. All senior and many middle leaders now play a crucial part in evaluating the quality of teaching and learning in classroom…. Leaders pro</w:t>
      </w:r>
      <w:r>
        <w:rPr>
          <w:sz w:val="24"/>
          <w:szCs w:val="24"/>
        </w:rPr>
        <w:t>vide relevant feedback to staff</w:t>
      </w:r>
      <w:r w:rsidRPr="0010601C">
        <w:rPr>
          <w:sz w:val="24"/>
          <w:szCs w:val="24"/>
        </w:rPr>
        <w:t xml:space="preserve"> and ensure that teachers get the support and training they need to act upon this feedback</w:t>
      </w:r>
      <w:r>
        <w:rPr>
          <w:sz w:val="24"/>
          <w:szCs w:val="24"/>
        </w:rPr>
        <w:t>.</w:t>
      </w:r>
      <w:r w:rsidRPr="0010601C">
        <w:rPr>
          <w:sz w:val="24"/>
          <w:szCs w:val="24"/>
        </w:rPr>
        <w:t>”</w:t>
      </w:r>
    </w:p>
    <w:p w14:paraId="593AB539" w14:textId="77777777" w:rsidR="00F6528A" w:rsidRDefault="00F6528A" w:rsidP="00F6528A">
      <w:pPr>
        <w:contextualSpacing/>
        <w:rPr>
          <w:sz w:val="24"/>
          <w:szCs w:val="24"/>
        </w:rPr>
      </w:pPr>
    </w:p>
    <w:p w14:paraId="3C472459" w14:textId="77777777" w:rsidR="00F6528A" w:rsidRDefault="00F6528A" w:rsidP="00F6528A">
      <w:pPr>
        <w:contextualSpacing/>
        <w:rPr>
          <w:sz w:val="24"/>
          <w:szCs w:val="24"/>
        </w:rPr>
      </w:pPr>
      <w:r>
        <w:rPr>
          <w:sz w:val="24"/>
          <w:szCs w:val="24"/>
        </w:rPr>
        <w:t>______________________________________________________________________________</w:t>
      </w:r>
    </w:p>
    <w:p w14:paraId="104A3F9B" w14:textId="77777777" w:rsidR="00F6528A" w:rsidRDefault="00F6528A" w:rsidP="00F6528A">
      <w:pPr>
        <w:contextualSpacing/>
        <w:rPr>
          <w:sz w:val="24"/>
          <w:szCs w:val="24"/>
        </w:rPr>
      </w:pPr>
    </w:p>
    <w:p w14:paraId="0B76C58C" w14:textId="77777777" w:rsidR="00F6528A" w:rsidRPr="0067477E" w:rsidRDefault="00F6528A" w:rsidP="00F6528A">
      <w:pPr>
        <w:contextualSpacing/>
        <w:jc w:val="both"/>
        <w:rPr>
          <w:sz w:val="24"/>
          <w:szCs w:val="24"/>
        </w:rPr>
      </w:pPr>
    </w:p>
    <w:p w14:paraId="66855417" w14:textId="77777777" w:rsidR="00F6528A" w:rsidRDefault="00F6528A" w:rsidP="00F6528A">
      <w:pPr>
        <w:contextualSpacing/>
        <w:jc w:val="both"/>
        <w:rPr>
          <w:b/>
          <w:sz w:val="32"/>
          <w:szCs w:val="32"/>
        </w:rPr>
      </w:pPr>
      <w:r w:rsidRPr="00AA355D">
        <w:rPr>
          <w:b/>
          <w:sz w:val="32"/>
          <w:szCs w:val="32"/>
        </w:rPr>
        <w:t xml:space="preserve">Implementing the </w:t>
      </w:r>
      <w:r>
        <w:rPr>
          <w:b/>
          <w:sz w:val="32"/>
          <w:szCs w:val="32"/>
        </w:rPr>
        <w:t>shared vision: systems and s</w:t>
      </w:r>
      <w:r w:rsidRPr="00AA355D">
        <w:rPr>
          <w:b/>
          <w:sz w:val="32"/>
          <w:szCs w:val="32"/>
        </w:rPr>
        <w:t>trategies</w:t>
      </w:r>
      <w:r>
        <w:rPr>
          <w:b/>
          <w:sz w:val="32"/>
          <w:szCs w:val="32"/>
        </w:rPr>
        <w:t xml:space="preserve"> </w:t>
      </w:r>
    </w:p>
    <w:p w14:paraId="23F7D418" w14:textId="51D183AB" w:rsidR="00F6528A" w:rsidRDefault="00F6528A" w:rsidP="00F6528A">
      <w:pPr>
        <w:pStyle w:val="ListParagraph"/>
        <w:ind w:left="0"/>
        <w:rPr>
          <w:rFonts w:cs="Times New Roman"/>
          <w:sz w:val="24"/>
          <w:szCs w:val="24"/>
        </w:rPr>
      </w:pPr>
      <w:r>
        <w:rPr>
          <w:rFonts w:cs="Times New Roman"/>
          <w:sz w:val="24"/>
          <w:szCs w:val="24"/>
        </w:rPr>
        <w:t xml:space="preserve">With strong leadership in place, the next priority in both boroughs was to develop and implement </w:t>
      </w:r>
      <w:r w:rsidRPr="00490DA7">
        <w:rPr>
          <w:rFonts w:cs="Times New Roman"/>
          <w:i/>
          <w:sz w:val="24"/>
          <w:szCs w:val="24"/>
        </w:rPr>
        <w:t>system</w:t>
      </w:r>
      <w:r>
        <w:rPr>
          <w:rFonts w:cs="Times New Roman"/>
          <w:i/>
          <w:sz w:val="24"/>
          <w:szCs w:val="24"/>
        </w:rPr>
        <w:t xml:space="preserve">s </w:t>
      </w:r>
      <w:r>
        <w:rPr>
          <w:rFonts w:cs="Times New Roman"/>
          <w:sz w:val="24"/>
          <w:szCs w:val="24"/>
        </w:rPr>
        <w:t xml:space="preserve">designed to assure implementation of the various components of the collective vision.  Leaders in both boroughs understood that, in the absence of effective strategies to improve teaching and learning, any talk of pursuing a “moral purpose” was empty rhetoric. In particular they understand that disadvantaged pupils need help in overcoming their particular challenges. As one headteacher said, </w:t>
      </w:r>
      <w:r w:rsidRPr="005E4B3E">
        <w:rPr>
          <w:rFonts w:cs="Times New Roman"/>
          <w:sz w:val="24"/>
          <w:szCs w:val="24"/>
        </w:rPr>
        <w:t xml:space="preserve">“Our vision was that all children can learn, so we set up a system with all elements working together to make this happen” </w:t>
      </w:r>
      <w:r>
        <w:rPr>
          <w:rFonts w:cs="Times New Roman"/>
          <w:sz w:val="24"/>
          <w:szCs w:val="24"/>
        </w:rPr>
        <w:t>(Nicole Reid)</w:t>
      </w:r>
      <w:r w:rsidR="00433AC9">
        <w:rPr>
          <w:rFonts w:cs="Times New Roman"/>
          <w:sz w:val="24"/>
          <w:szCs w:val="24"/>
        </w:rPr>
        <w:t>.</w:t>
      </w:r>
      <w:r>
        <w:rPr>
          <w:rFonts w:cs="Times New Roman"/>
          <w:sz w:val="24"/>
          <w:szCs w:val="24"/>
        </w:rPr>
        <w:t xml:space="preserve"> </w:t>
      </w:r>
    </w:p>
    <w:p w14:paraId="7590591C" w14:textId="77777777" w:rsidR="00F6528A" w:rsidRDefault="00F6528A" w:rsidP="00F6528A">
      <w:pPr>
        <w:pStyle w:val="ListParagraph"/>
        <w:ind w:left="0"/>
        <w:rPr>
          <w:rFonts w:cs="Times New Roman"/>
          <w:sz w:val="24"/>
          <w:szCs w:val="24"/>
        </w:rPr>
      </w:pPr>
    </w:p>
    <w:p w14:paraId="3DB77072" w14:textId="6DB5232A" w:rsidR="00F6528A" w:rsidRDefault="00F6528A" w:rsidP="00F6528A">
      <w:pPr>
        <w:pStyle w:val="ListParagraph"/>
        <w:ind w:left="0"/>
        <w:rPr>
          <w:rFonts w:cs="Times New Roman"/>
          <w:sz w:val="24"/>
          <w:szCs w:val="24"/>
        </w:rPr>
      </w:pPr>
      <w:r>
        <w:rPr>
          <w:rFonts w:cs="Times New Roman"/>
          <w:sz w:val="24"/>
          <w:szCs w:val="24"/>
        </w:rPr>
        <w:t>Thus</w:t>
      </w:r>
      <w:r w:rsidR="001E40FE">
        <w:rPr>
          <w:rFonts w:cs="Times New Roman"/>
          <w:sz w:val="24"/>
          <w:szCs w:val="24"/>
        </w:rPr>
        <w:t>,</w:t>
      </w:r>
      <w:r>
        <w:rPr>
          <w:rFonts w:cs="Times New Roman"/>
          <w:sz w:val="24"/>
          <w:szCs w:val="24"/>
        </w:rPr>
        <w:t xml:space="preserve"> borough leaders set out to create an environment whereby large numbers of competent school leaders – armed with the right resources, direction, support and encouragement – could operate high quality schools with high performing pupils.   We highlight four key strategies. </w:t>
      </w:r>
    </w:p>
    <w:p w14:paraId="4161A732" w14:textId="77777777" w:rsidR="0024570B" w:rsidRDefault="0024570B" w:rsidP="00F6528A">
      <w:pPr>
        <w:pStyle w:val="ListParagraph"/>
        <w:ind w:left="0"/>
        <w:rPr>
          <w:rFonts w:cs="Times New Roman"/>
          <w:sz w:val="24"/>
          <w:szCs w:val="24"/>
        </w:rPr>
      </w:pPr>
    </w:p>
    <w:p w14:paraId="5A580493" w14:textId="77777777" w:rsidR="00F6528A" w:rsidRPr="00D4071A" w:rsidRDefault="00F6528A" w:rsidP="00F6528A">
      <w:pPr>
        <w:rPr>
          <w:rFonts w:cs="Times New Roman"/>
          <w:sz w:val="28"/>
          <w:szCs w:val="28"/>
        </w:rPr>
      </w:pPr>
      <w:r w:rsidRPr="00D4071A">
        <w:rPr>
          <w:rFonts w:cs="Times New Roman"/>
          <w:b/>
          <w:sz w:val="28"/>
          <w:szCs w:val="28"/>
        </w:rPr>
        <w:t xml:space="preserve">Use of data to monitor individual pupil performance </w:t>
      </w:r>
      <w:r w:rsidRPr="00D4071A">
        <w:rPr>
          <w:rFonts w:cs="Times New Roman"/>
          <w:sz w:val="28"/>
          <w:szCs w:val="28"/>
        </w:rPr>
        <w:t xml:space="preserve"> </w:t>
      </w:r>
    </w:p>
    <w:p w14:paraId="7DB46C51" w14:textId="43C4AA8E" w:rsidR="00F6528A" w:rsidRDefault="00F6528A" w:rsidP="00F6528A">
      <w:pPr>
        <w:rPr>
          <w:rFonts w:cs="Times New Roman"/>
          <w:sz w:val="24"/>
          <w:szCs w:val="24"/>
        </w:rPr>
      </w:pPr>
      <w:r>
        <w:rPr>
          <w:rFonts w:cs="Times New Roman"/>
          <w:sz w:val="24"/>
          <w:szCs w:val="24"/>
        </w:rPr>
        <w:t xml:space="preserve">Schools in both boroughs are intentional about using </w:t>
      </w:r>
      <w:r w:rsidRPr="00232389">
        <w:rPr>
          <w:rFonts w:cs="Times New Roman"/>
          <w:sz w:val="24"/>
          <w:szCs w:val="24"/>
        </w:rPr>
        <w:t>data to guide the learning process</w:t>
      </w:r>
      <w:r>
        <w:rPr>
          <w:rFonts w:cs="Times New Roman"/>
          <w:sz w:val="24"/>
          <w:szCs w:val="24"/>
        </w:rPr>
        <w:t xml:space="preserve">. Teachers keep detailed records of the extent to which individual pupils have mastered particular learning tasks and then use these data to inform subsequent instruction. Teachers also typically meet in small groups to monitor academic progress and to discuss strategies to help individual pupils. The emphasis is on “diagnostic” or “formative” assessments that provide information that then feeds back into instruction. </w:t>
      </w:r>
      <w:r w:rsidR="009B5ED0">
        <w:rPr>
          <w:rFonts w:cs="Times New Roman"/>
          <w:sz w:val="24"/>
          <w:szCs w:val="24"/>
        </w:rPr>
        <w:t xml:space="preserve"> </w:t>
      </w:r>
    </w:p>
    <w:p w14:paraId="035B0E2C" w14:textId="77777777" w:rsidR="002604E2" w:rsidRDefault="00F6528A" w:rsidP="00F6528A">
      <w:pPr>
        <w:rPr>
          <w:rFonts w:cs="Times New Roman"/>
          <w:sz w:val="24"/>
          <w:szCs w:val="24"/>
        </w:rPr>
      </w:pPr>
      <w:r>
        <w:rPr>
          <w:rFonts w:cs="Times New Roman"/>
          <w:sz w:val="24"/>
          <w:szCs w:val="24"/>
        </w:rPr>
        <w:t xml:space="preserve">Gillian Kemp, head teacher at Cyril Jackson Primary School in Tower Hamlets, explained that her teachers enter test results and other pupil performance data into a computer program that generates a detailed report documenting each pupil’s progress and whether it is “emerging,” “developing” or “secure.”  Teachers then meet regularly to discuss these data and devise interventions. At the end of each term the computer issues a comprehensive academic review that compares pupil performance both over time and in relation to national averages and spells </w:t>
      </w:r>
      <w:r>
        <w:rPr>
          <w:rFonts w:cs="Times New Roman"/>
          <w:sz w:val="24"/>
          <w:szCs w:val="24"/>
        </w:rPr>
        <w:lastRenderedPageBreak/>
        <w:t xml:space="preserve">out learning strategies and priorities for the next term.  Another important tool for teachers at Cyril Jackson is the book that each child keeps showing his or her work. “By the time we meet to formally monitor a child’s progress, we have usually dealt with issues,” she said. “There are no surprises.”  We found similar procedures and use of data in the Hackney schools. </w:t>
      </w:r>
    </w:p>
    <w:p w14:paraId="321C406C" w14:textId="23DE6B4B" w:rsidR="002604E2" w:rsidRDefault="002604E2" w:rsidP="002604E2">
      <w:pPr>
        <w:rPr>
          <w:rFonts w:cs="Times New Roman"/>
          <w:sz w:val="24"/>
          <w:szCs w:val="24"/>
        </w:rPr>
      </w:pPr>
      <w:r>
        <w:rPr>
          <w:rFonts w:cs="Times New Roman"/>
          <w:sz w:val="24"/>
          <w:szCs w:val="24"/>
        </w:rPr>
        <w:t xml:space="preserve">While these practices have undoubtedly been developed and refined over time, the focus on monitoring student progress was evident in Tower Hamlets even in the late 1990s and early 2000s.   In our review of the earliest available Ofsted reports for each of the primary schools in Tower Hamlets, we frequently found that “more rigorous monitoring of pupil performance,” was one of the factors identified as contributing to the improvement of individual schools.    </w:t>
      </w:r>
    </w:p>
    <w:p w14:paraId="2753A708" w14:textId="77777777" w:rsidR="00F6528A" w:rsidRDefault="00F6528A" w:rsidP="00F6528A">
      <w:pPr>
        <w:rPr>
          <w:rFonts w:cs="Times New Roman"/>
          <w:b/>
          <w:sz w:val="24"/>
          <w:szCs w:val="24"/>
        </w:rPr>
      </w:pPr>
    </w:p>
    <w:p w14:paraId="4F3B9401" w14:textId="77777777" w:rsidR="00F6528A" w:rsidRDefault="00F6528A" w:rsidP="00F6528A">
      <w:pPr>
        <w:contextualSpacing/>
        <w:rPr>
          <w:rFonts w:cs="Times New Roman"/>
          <w:b/>
          <w:sz w:val="28"/>
          <w:szCs w:val="28"/>
        </w:rPr>
      </w:pPr>
      <w:r w:rsidRPr="00D4071A">
        <w:rPr>
          <w:rFonts w:cs="Times New Roman"/>
          <w:b/>
          <w:sz w:val="28"/>
          <w:szCs w:val="28"/>
        </w:rPr>
        <w:t>Early interventions to address learning</w:t>
      </w:r>
      <w:r>
        <w:rPr>
          <w:rFonts w:cs="Times New Roman"/>
          <w:b/>
          <w:sz w:val="28"/>
          <w:szCs w:val="28"/>
        </w:rPr>
        <w:t xml:space="preserve"> deficiencies</w:t>
      </w:r>
    </w:p>
    <w:p w14:paraId="3BA9C9BF" w14:textId="77777777" w:rsidR="00F6528A" w:rsidRDefault="00F6528A" w:rsidP="00F6528A">
      <w:pPr>
        <w:contextualSpacing/>
        <w:rPr>
          <w:rFonts w:cs="Times New Roman"/>
          <w:sz w:val="24"/>
          <w:szCs w:val="24"/>
        </w:rPr>
      </w:pPr>
    </w:p>
    <w:p w14:paraId="7BAD86FD" w14:textId="67DD0423" w:rsidR="00F6528A" w:rsidRDefault="00F6528A" w:rsidP="00F6528A">
      <w:pPr>
        <w:contextualSpacing/>
        <w:rPr>
          <w:rFonts w:cs="Times New Roman"/>
          <w:sz w:val="24"/>
          <w:szCs w:val="24"/>
        </w:rPr>
      </w:pPr>
      <w:r>
        <w:rPr>
          <w:rFonts w:cs="Times New Roman"/>
          <w:sz w:val="24"/>
          <w:szCs w:val="24"/>
        </w:rPr>
        <w:t xml:space="preserve">Once learning deficiencies are identified, schools in both boroughs organize “booster groups” and other forms of small group tutoring targeted toward specific learning needs that teachers had identified. Such interventions can take place before, during and after school, and teachers will sometime look for moments during the school day to pull a student aside and work on a particular learning issue that has just arisen. Some interventions can be quite creative. Grazebrook Primary School organizes weekly speech therapy sessions </w:t>
      </w:r>
      <w:r w:rsidR="0084387F">
        <w:rPr>
          <w:rFonts w:cs="Times New Roman"/>
          <w:sz w:val="24"/>
          <w:szCs w:val="24"/>
        </w:rPr>
        <w:t xml:space="preserve">children about to enter the </w:t>
      </w:r>
      <w:r w:rsidR="0084387F" w:rsidRPr="006A2353">
        <w:rPr>
          <w:rFonts w:cs="Times New Roman"/>
          <w:sz w:val="24"/>
          <w:szCs w:val="24"/>
        </w:rPr>
        <w:t>school</w:t>
      </w:r>
      <w:r w:rsidR="006A2353">
        <w:rPr>
          <w:rFonts w:cs="Times New Roman"/>
          <w:sz w:val="24"/>
          <w:szCs w:val="24"/>
        </w:rPr>
        <w:t>.</w:t>
      </w:r>
      <w:r w:rsidR="0084387F" w:rsidRPr="006A2353">
        <w:rPr>
          <w:rFonts w:cs="Times New Roman"/>
          <w:sz w:val="24"/>
          <w:szCs w:val="24"/>
        </w:rPr>
        <w:t xml:space="preserve"> </w:t>
      </w:r>
      <w:r w:rsidRPr="006A2353">
        <w:rPr>
          <w:rFonts w:cs="Times New Roman"/>
          <w:sz w:val="24"/>
          <w:szCs w:val="24"/>
        </w:rPr>
        <w:t>At</w:t>
      </w:r>
      <w:r w:rsidRPr="0029756F">
        <w:rPr>
          <w:rFonts w:cs="Times New Roman"/>
          <w:sz w:val="24"/>
          <w:szCs w:val="24"/>
        </w:rPr>
        <w:t xml:space="preserve"> London Fields Primary School in Hackney</w:t>
      </w:r>
      <w:r w:rsidR="006A2353">
        <w:rPr>
          <w:rFonts w:cs="Times New Roman"/>
          <w:sz w:val="24"/>
          <w:szCs w:val="24"/>
        </w:rPr>
        <w:t>,</w:t>
      </w:r>
      <w:r w:rsidRPr="0029756F">
        <w:rPr>
          <w:rFonts w:cs="Times New Roman"/>
          <w:sz w:val="24"/>
          <w:szCs w:val="24"/>
        </w:rPr>
        <w:t xml:space="preserve"> 4-year olds scheduled to enter</w:t>
      </w:r>
      <w:r>
        <w:rPr>
          <w:rFonts w:cs="Times New Roman"/>
          <w:sz w:val="24"/>
          <w:szCs w:val="24"/>
        </w:rPr>
        <w:t xml:space="preserve"> kindergarten in the fall are put into the nursery for several weeks the previous spring in order to help them feel comfortable. At Cyril Jackson lunch room workers are paid to come in a half hour early each day to supplement teachers in providing one-on-one math tutoring to pupils. “We don’t give up,” commented Gillian Kemp. “We push, push, push.”</w:t>
      </w:r>
    </w:p>
    <w:p w14:paraId="4B20999C" w14:textId="77777777" w:rsidR="00F6528A" w:rsidRDefault="00F6528A" w:rsidP="00F6528A">
      <w:pPr>
        <w:contextualSpacing/>
        <w:rPr>
          <w:rFonts w:cs="Times New Roman"/>
          <w:sz w:val="24"/>
          <w:szCs w:val="24"/>
        </w:rPr>
      </w:pPr>
    </w:p>
    <w:p w14:paraId="3CB1DFB2" w14:textId="1E5A6DF7" w:rsidR="00F6528A" w:rsidRDefault="00F6528A" w:rsidP="00F6528A">
      <w:pPr>
        <w:contextualSpacing/>
        <w:rPr>
          <w:rFonts w:cs="Times New Roman"/>
          <w:sz w:val="24"/>
          <w:szCs w:val="24"/>
        </w:rPr>
      </w:pPr>
      <w:r w:rsidRPr="006D0DA9">
        <w:rPr>
          <w:rFonts w:cs="Times New Roman"/>
          <w:sz w:val="24"/>
          <w:szCs w:val="24"/>
        </w:rPr>
        <w:t>With the introduction of the pupil premium for disadvantaged students in 201</w:t>
      </w:r>
      <w:r>
        <w:rPr>
          <w:rFonts w:cs="Times New Roman"/>
          <w:sz w:val="24"/>
          <w:szCs w:val="24"/>
        </w:rPr>
        <w:t>1</w:t>
      </w:r>
      <w:r w:rsidRPr="006D0DA9">
        <w:rPr>
          <w:rFonts w:cs="Times New Roman"/>
          <w:sz w:val="24"/>
          <w:szCs w:val="24"/>
        </w:rPr>
        <w:t xml:space="preserve">, the schools are now required to report on their websites on how they spend the funds. A July 2014 Ofsted report on the </w:t>
      </w:r>
      <w:r>
        <w:rPr>
          <w:rFonts w:cs="Times New Roman"/>
          <w:sz w:val="24"/>
          <w:szCs w:val="24"/>
        </w:rPr>
        <w:t xml:space="preserve">national </w:t>
      </w:r>
      <w:r w:rsidRPr="006D0DA9">
        <w:rPr>
          <w:rFonts w:cs="Times New Roman"/>
          <w:sz w:val="24"/>
          <w:szCs w:val="24"/>
        </w:rPr>
        <w:t xml:space="preserve">program found that many schools used the additional funds, to “pay for additional staff, including teachers and teaching assistants, who deliver one-to-one support </w:t>
      </w:r>
      <w:r w:rsidR="0084387F">
        <w:rPr>
          <w:rFonts w:cs="Times New Roman"/>
          <w:sz w:val="24"/>
          <w:szCs w:val="24"/>
        </w:rPr>
        <w:t xml:space="preserve">instruction, </w:t>
      </w:r>
      <w:r w:rsidRPr="006D0DA9">
        <w:rPr>
          <w:rFonts w:cs="Times New Roman"/>
          <w:sz w:val="24"/>
          <w:szCs w:val="24"/>
        </w:rPr>
        <w:t>typically focused on English and</w:t>
      </w:r>
      <w:r>
        <w:rPr>
          <w:rFonts w:cs="Times New Roman"/>
          <w:sz w:val="24"/>
          <w:szCs w:val="24"/>
        </w:rPr>
        <w:t xml:space="preserve"> mathematics.” Other uses include support for booster classes, “raising aspiration” programs and reductions of class sizes as well as assuring that eligible pupils can participate fully in after-school clubs and activities and educational visits. (Ofsted July 2014 report on per pupil funding). </w:t>
      </w:r>
    </w:p>
    <w:p w14:paraId="0EDF8A55" w14:textId="77777777" w:rsidR="00F6528A" w:rsidRDefault="00F6528A" w:rsidP="00F6528A">
      <w:pPr>
        <w:ind w:left="1800"/>
        <w:contextualSpacing/>
        <w:rPr>
          <w:sz w:val="24"/>
          <w:szCs w:val="24"/>
        </w:rPr>
      </w:pPr>
    </w:p>
    <w:p w14:paraId="42EDF360" w14:textId="77777777" w:rsidR="00C96E09" w:rsidRDefault="00C96E09" w:rsidP="00F6528A">
      <w:pPr>
        <w:ind w:left="1800"/>
        <w:contextualSpacing/>
        <w:rPr>
          <w:sz w:val="24"/>
          <w:szCs w:val="24"/>
        </w:rPr>
      </w:pPr>
    </w:p>
    <w:p w14:paraId="668783C7" w14:textId="77777777" w:rsidR="00C96E09" w:rsidRDefault="00C96E09" w:rsidP="00F6528A">
      <w:pPr>
        <w:rPr>
          <w:b/>
          <w:sz w:val="28"/>
          <w:szCs w:val="28"/>
        </w:rPr>
      </w:pPr>
    </w:p>
    <w:p w14:paraId="06D38246" w14:textId="7B397697" w:rsidR="00C96E09" w:rsidRDefault="00F6528A" w:rsidP="00F6528A">
      <w:pPr>
        <w:rPr>
          <w:b/>
          <w:sz w:val="28"/>
          <w:szCs w:val="28"/>
        </w:rPr>
      </w:pPr>
      <w:r w:rsidRPr="00D4071A">
        <w:rPr>
          <w:b/>
          <w:sz w:val="28"/>
          <w:szCs w:val="28"/>
        </w:rPr>
        <w:lastRenderedPageBreak/>
        <w:t>Strong relationships with families</w:t>
      </w:r>
    </w:p>
    <w:p w14:paraId="65214CF4" w14:textId="77777777" w:rsidR="00F6528A" w:rsidRDefault="00F6528A" w:rsidP="00F6528A">
      <w:pPr>
        <w:rPr>
          <w:rFonts w:cs="Times New Roman"/>
          <w:sz w:val="24"/>
          <w:szCs w:val="24"/>
        </w:rPr>
      </w:pPr>
      <w:r>
        <w:rPr>
          <w:rFonts w:cs="Times New Roman"/>
          <w:sz w:val="24"/>
          <w:szCs w:val="24"/>
        </w:rPr>
        <w:t xml:space="preserve">Primary schools in Tower Hamlets and Hackney are intentional about building strong relationships with the families they serve. Once a school receives the list of pupils who will be attending in the coming year, teachers and other staff members normally visit each of their homes. “We send the family a letter and set up an appointment,” explained </w:t>
      </w:r>
      <w:r w:rsidRPr="004A7947">
        <w:rPr>
          <w:rFonts w:cs="Times New Roman"/>
          <w:sz w:val="24"/>
          <w:szCs w:val="24"/>
        </w:rPr>
        <w:t>Caroline Tyson,</w:t>
      </w:r>
      <w:r>
        <w:rPr>
          <w:rFonts w:cs="Times New Roman"/>
          <w:sz w:val="24"/>
          <w:szCs w:val="24"/>
        </w:rPr>
        <w:t xml:space="preserve"> head teacher at London Fields Primary School in Hackney. “These visits provide early identification of special needs that we may have to address once school starts. They are a way to begin building strong bonds with the family.” Some primary schools have “parent advocates” or “family liaison teams” or “home school worker” charged with building bridges between families and the school. They also identify health, employment, housing or other non-educational needs and, if appropriate, provide referrals to appropriate social services to address them. </w:t>
      </w:r>
    </w:p>
    <w:p w14:paraId="4992255A" w14:textId="0E3957DA" w:rsidR="00F6528A" w:rsidRDefault="00F6528A" w:rsidP="00F6528A">
      <w:pPr>
        <w:rPr>
          <w:rFonts w:cs="Times New Roman"/>
          <w:sz w:val="24"/>
          <w:szCs w:val="24"/>
        </w:rPr>
      </w:pPr>
      <w:r>
        <w:rPr>
          <w:rFonts w:cs="Times New Roman"/>
          <w:sz w:val="24"/>
          <w:szCs w:val="24"/>
        </w:rPr>
        <w:t>Schools in both boroughs routinely offer workshops for parents on topics ranging from parenting skills to English as an additional language. Cyril Jackson provides parents with “teaching cards” on topics such as “Healthy Lifestyles” and “Sleeping for Success.” When parents drop a child off at the school each morning</w:t>
      </w:r>
      <w:r w:rsidR="006A2353">
        <w:rPr>
          <w:rFonts w:cs="Times New Roman"/>
          <w:sz w:val="24"/>
          <w:szCs w:val="24"/>
        </w:rPr>
        <w:t>,</w:t>
      </w:r>
      <w:r>
        <w:rPr>
          <w:rFonts w:cs="Times New Roman"/>
          <w:sz w:val="24"/>
          <w:szCs w:val="24"/>
        </w:rPr>
        <w:t xml:space="preserve"> they often spend </w:t>
      </w:r>
      <w:r w:rsidRPr="00FF5195">
        <w:rPr>
          <w:rFonts w:cs="Times New Roman"/>
          <w:sz w:val="24"/>
          <w:szCs w:val="24"/>
        </w:rPr>
        <w:t>ten minutes in the classroom with the child</w:t>
      </w:r>
      <w:r>
        <w:rPr>
          <w:rFonts w:cs="Times New Roman"/>
          <w:sz w:val="24"/>
          <w:szCs w:val="24"/>
        </w:rPr>
        <w:t xml:space="preserve"> in some cases watching the teacher model effective teaching.  </w:t>
      </w:r>
    </w:p>
    <w:p w14:paraId="06AFB914" w14:textId="77777777" w:rsidR="00F6528A" w:rsidRDefault="00F6528A" w:rsidP="00F6528A">
      <w:pPr>
        <w:rPr>
          <w:rFonts w:cs="Times New Roman"/>
          <w:sz w:val="24"/>
          <w:szCs w:val="24"/>
        </w:rPr>
      </w:pPr>
      <w:r>
        <w:rPr>
          <w:rFonts w:cs="Times New Roman"/>
          <w:sz w:val="24"/>
          <w:szCs w:val="24"/>
        </w:rPr>
        <w:t xml:space="preserve">Such bonds are particularly important in a borough such as Tower Hamlets, where a high proportion of families are immigrants and parents are unfamiliar with the culture of schooling. Several schools worked with local mosques to help convince parents not to take their children on visits to their home countries during the school year. At Cyril Jackson parents are called in to discuss the situation of every child whose attendance record falls below 95 percent. </w:t>
      </w:r>
    </w:p>
    <w:p w14:paraId="1E5BDD67" w14:textId="77777777" w:rsidR="00F6528A" w:rsidRDefault="00F6528A" w:rsidP="00F6528A">
      <w:pPr>
        <w:rPr>
          <w:rFonts w:cs="Times New Roman"/>
          <w:sz w:val="24"/>
          <w:szCs w:val="24"/>
        </w:rPr>
      </w:pPr>
    </w:p>
    <w:p w14:paraId="4549878B" w14:textId="77777777" w:rsidR="00F6528A" w:rsidRPr="00D4071A" w:rsidRDefault="00F6528A" w:rsidP="00F6528A">
      <w:pPr>
        <w:jc w:val="both"/>
        <w:rPr>
          <w:b/>
          <w:sz w:val="28"/>
          <w:szCs w:val="28"/>
        </w:rPr>
      </w:pPr>
      <w:r w:rsidRPr="00D4071A">
        <w:rPr>
          <w:b/>
          <w:sz w:val="28"/>
          <w:szCs w:val="28"/>
        </w:rPr>
        <w:t>Addressing social, emotional and other needs</w:t>
      </w:r>
    </w:p>
    <w:p w14:paraId="30E1B225" w14:textId="77777777" w:rsidR="00F6528A" w:rsidRDefault="00F6528A" w:rsidP="00F6528A">
      <w:pPr>
        <w:contextualSpacing/>
        <w:rPr>
          <w:sz w:val="24"/>
          <w:szCs w:val="24"/>
        </w:rPr>
      </w:pPr>
      <w:r>
        <w:rPr>
          <w:sz w:val="24"/>
          <w:szCs w:val="24"/>
        </w:rPr>
        <w:t xml:space="preserve">Primary schools in Tower Hamlets and Hackney benefit from the fact that England has a universal national health system that addresses many of the problems, such as impaired hearing or sight, that are likely to interfere with learning. Another important resource is the network of Children’s Centres, established under the 2003 Children’s Act in disadvantaged areas. These centres provide wrap-around services ranging from out-of-school programs, parent education and mental health services to help for the homeless and youths involved in the justice system. </w:t>
      </w:r>
    </w:p>
    <w:p w14:paraId="5D7BF654" w14:textId="77777777" w:rsidR="00F6528A" w:rsidRDefault="00F6528A" w:rsidP="00F6528A">
      <w:pPr>
        <w:ind w:left="720"/>
        <w:contextualSpacing/>
        <w:rPr>
          <w:sz w:val="24"/>
          <w:szCs w:val="24"/>
        </w:rPr>
      </w:pPr>
    </w:p>
    <w:p w14:paraId="77A5D9E4" w14:textId="77777777" w:rsidR="00F6528A" w:rsidRDefault="00F6528A" w:rsidP="00F6528A">
      <w:pPr>
        <w:contextualSpacing/>
        <w:rPr>
          <w:sz w:val="24"/>
          <w:szCs w:val="24"/>
        </w:rPr>
      </w:pPr>
      <w:r>
        <w:rPr>
          <w:sz w:val="24"/>
          <w:szCs w:val="24"/>
        </w:rPr>
        <w:t xml:space="preserve">There are 22 Children’s Centres in Hackney. Anne Canning, head of the </w:t>
      </w:r>
      <w:r w:rsidRPr="006A6E05">
        <w:rPr>
          <w:sz w:val="24"/>
          <w:szCs w:val="24"/>
        </w:rPr>
        <w:t>Learning Trust</w:t>
      </w:r>
      <w:r>
        <w:rPr>
          <w:sz w:val="24"/>
          <w:szCs w:val="24"/>
        </w:rPr>
        <w:t xml:space="preserve"> and director of education for the borough, says that they reflect “our strong belief in early </w:t>
      </w:r>
      <w:r>
        <w:rPr>
          <w:sz w:val="24"/>
          <w:szCs w:val="24"/>
        </w:rPr>
        <w:lastRenderedPageBreak/>
        <w:t xml:space="preserve">intervention” to address children’s social, emotional and other needs. They serve schools, she said, both by helping pupils to arrive at primary school socialized to learn and by “helping us to identify vulnerable families.” </w:t>
      </w:r>
    </w:p>
    <w:p w14:paraId="30A4F6D1" w14:textId="77777777" w:rsidR="00F6528A" w:rsidRDefault="00F6528A" w:rsidP="00F6528A">
      <w:pPr>
        <w:contextualSpacing/>
        <w:rPr>
          <w:sz w:val="24"/>
          <w:szCs w:val="24"/>
        </w:rPr>
      </w:pPr>
    </w:p>
    <w:p w14:paraId="439D747C" w14:textId="12647D2E" w:rsidR="00F6528A" w:rsidRDefault="00F6528A" w:rsidP="00F6528A">
      <w:pPr>
        <w:contextualSpacing/>
        <w:rPr>
          <w:sz w:val="24"/>
          <w:szCs w:val="24"/>
        </w:rPr>
      </w:pPr>
      <w:r>
        <w:rPr>
          <w:sz w:val="24"/>
          <w:szCs w:val="24"/>
        </w:rPr>
        <w:t xml:space="preserve">One of the Hackney centres is the Anne Tayler Children’s Centre, which occupies a large facility near Lincoln Fields Primary School and serves 110 children, some as young as two years old, on a full- or half-day basis. Parents pay fees on a sliding scale, </w:t>
      </w:r>
      <w:r w:rsidRPr="00817391">
        <w:rPr>
          <w:sz w:val="24"/>
          <w:szCs w:val="24"/>
        </w:rPr>
        <w:t xml:space="preserve">but all </w:t>
      </w:r>
      <w:r>
        <w:rPr>
          <w:sz w:val="24"/>
          <w:szCs w:val="24"/>
        </w:rPr>
        <w:t xml:space="preserve">two-year olds throughout the country are now entitled to 15 hours a week of free child care. Kaushika Amin, the manager, explained that “the curriculum is planned each week for each child,” and each child has a book, amply illustrated with photographs, documenting their academic progress. Serving parents is a major priority. There is a room where parents can spend all day if they wish –in cold weather some do – and they can leave their young children in the crèche while taking English as an Additional Language classes. Amin said that staff members look for ways to model how best to interact with their children. “We don’t want to overwhelm them,” said Amin, “but we seek to give them a few messages, such as how they can help their child with writing.” The Centre is host to pre-natal and other health services, some financed by the LEA. “We encourage access to these services,” said Amin. “Parents don’t have to run around to 15 places. They can walk across the hall.”  </w:t>
      </w:r>
    </w:p>
    <w:p w14:paraId="0A8A9A9B" w14:textId="77777777" w:rsidR="00F6528A" w:rsidRPr="000C5567" w:rsidRDefault="00F6528A" w:rsidP="00F6528A">
      <w:pPr>
        <w:contextualSpacing/>
        <w:rPr>
          <w:sz w:val="24"/>
          <w:szCs w:val="24"/>
          <w:u w:val="single"/>
        </w:rPr>
      </w:pPr>
    </w:p>
    <w:p w14:paraId="0259F2D2" w14:textId="77777777" w:rsidR="00F6528A" w:rsidRDefault="00F6528A" w:rsidP="00F6528A">
      <w:pPr>
        <w:pStyle w:val="ListParagraph"/>
        <w:ind w:left="0"/>
        <w:rPr>
          <w:rFonts w:cs="Times New Roman"/>
          <w:sz w:val="24"/>
          <w:szCs w:val="24"/>
        </w:rPr>
      </w:pPr>
      <w:r>
        <w:rPr>
          <w:sz w:val="24"/>
          <w:szCs w:val="24"/>
        </w:rPr>
        <w:t>In summary, both Tower Hamlets and Hackney have installed systems that support high academic expectations – not only for low-income pupils but for the adults charged with helping them succeed. Schools are expected to find ways to help</w:t>
      </w:r>
      <w:r>
        <w:rPr>
          <w:rFonts w:cs="Times New Roman"/>
          <w:sz w:val="24"/>
          <w:szCs w:val="24"/>
        </w:rPr>
        <w:t xml:space="preserve"> poor children to deal with the special challenges that they face when they come to school – thus making a reality of the convictions that all children can learn and that poverty </w:t>
      </w:r>
      <w:r w:rsidR="00207801">
        <w:rPr>
          <w:rFonts w:cs="Times New Roman"/>
          <w:sz w:val="24"/>
          <w:szCs w:val="24"/>
        </w:rPr>
        <w:t xml:space="preserve">is </w:t>
      </w:r>
      <w:r>
        <w:rPr>
          <w:rFonts w:cs="Times New Roman"/>
          <w:sz w:val="24"/>
          <w:szCs w:val="24"/>
        </w:rPr>
        <w:t xml:space="preserve">not an excuse for low performance. </w:t>
      </w:r>
    </w:p>
    <w:p w14:paraId="4FC512D8" w14:textId="77777777" w:rsidR="00F6528A" w:rsidRPr="001E5CF3" w:rsidRDefault="00F6528A" w:rsidP="00F6528A">
      <w:pPr>
        <w:contextualSpacing/>
        <w:rPr>
          <w:sz w:val="24"/>
          <w:szCs w:val="24"/>
        </w:rPr>
      </w:pPr>
    </w:p>
    <w:p w14:paraId="5670B6EC" w14:textId="77777777" w:rsidR="00F6528A" w:rsidRPr="00AA355D" w:rsidRDefault="00F6528A" w:rsidP="00F6528A">
      <w:pPr>
        <w:rPr>
          <w:b/>
          <w:sz w:val="32"/>
          <w:szCs w:val="32"/>
        </w:rPr>
      </w:pPr>
      <w:r>
        <w:rPr>
          <w:b/>
          <w:sz w:val="32"/>
          <w:szCs w:val="32"/>
        </w:rPr>
        <w:t>Implementing the shared v</w:t>
      </w:r>
      <w:r w:rsidRPr="00AA355D">
        <w:rPr>
          <w:b/>
          <w:sz w:val="32"/>
          <w:szCs w:val="32"/>
        </w:rPr>
        <w:t xml:space="preserve">ision: </w:t>
      </w:r>
      <w:r>
        <w:rPr>
          <w:b/>
          <w:sz w:val="32"/>
          <w:szCs w:val="32"/>
        </w:rPr>
        <w:t>a</w:t>
      </w:r>
      <w:r w:rsidRPr="00AA355D">
        <w:rPr>
          <w:b/>
          <w:sz w:val="32"/>
          <w:szCs w:val="32"/>
        </w:rPr>
        <w:t xml:space="preserve"> </w:t>
      </w:r>
      <w:r>
        <w:rPr>
          <w:b/>
          <w:sz w:val="32"/>
          <w:szCs w:val="32"/>
        </w:rPr>
        <w:t>culture of mutual r</w:t>
      </w:r>
      <w:r w:rsidRPr="00AA355D">
        <w:rPr>
          <w:b/>
          <w:sz w:val="32"/>
          <w:szCs w:val="32"/>
        </w:rPr>
        <w:t xml:space="preserve">esponsibility  </w:t>
      </w:r>
    </w:p>
    <w:p w14:paraId="3D264D08" w14:textId="77777777" w:rsidR="00F6528A" w:rsidRPr="009C376D" w:rsidRDefault="00F6528A" w:rsidP="00F6528A">
      <w:pPr>
        <w:pStyle w:val="ListParagraph"/>
        <w:ind w:left="0"/>
        <w:rPr>
          <w:rFonts w:cs="Times New Roman"/>
          <w:color w:val="FF0000"/>
          <w:sz w:val="24"/>
          <w:szCs w:val="24"/>
        </w:rPr>
      </w:pPr>
      <w:r>
        <w:rPr>
          <w:rFonts w:cs="Times New Roman"/>
          <w:sz w:val="24"/>
          <w:szCs w:val="24"/>
        </w:rPr>
        <w:t xml:space="preserve">One of the most striking enablers of the primary school turnarounds in Tower Hamlets and Hackney – especially to the eyes of U.S. observers – is the way in which schools collaborate with each other in a spirit of shared professional responsibility. Education is viewed as a borough-wide enterprise in which all schools have a stake in the success of every school and the long-term fortunes of one school are inextricably linked to the success other schools in the area. “There is a sense that we are all in it together,” said Martin Tune. As we have previously noted, Christine Gilbert clearly understood that the vision had to be shared by the community. </w:t>
      </w:r>
      <w:r w:rsidRPr="009C376D">
        <w:rPr>
          <w:rFonts w:cs="Times New Roman"/>
          <w:b/>
          <w:color w:val="FF0000"/>
          <w:sz w:val="24"/>
          <w:szCs w:val="24"/>
        </w:rPr>
        <w:t xml:space="preserve"> </w:t>
      </w:r>
      <w:r w:rsidRPr="009C376D">
        <w:rPr>
          <w:rFonts w:cs="Times New Roman"/>
          <w:color w:val="FF0000"/>
          <w:sz w:val="24"/>
          <w:szCs w:val="24"/>
        </w:rPr>
        <w:t xml:space="preserve">         </w:t>
      </w:r>
    </w:p>
    <w:p w14:paraId="016608D2" w14:textId="77777777" w:rsidR="00F6528A" w:rsidRPr="009C376D" w:rsidRDefault="00F6528A" w:rsidP="00F6528A">
      <w:pPr>
        <w:pStyle w:val="ListParagraph"/>
        <w:ind w:left="0"/>
        <w:rPr>
          <w:rFonts w:cs="Times New Roman"/>
          <w:color w:val="FF0000"/>
          <w:sz w:val="24"/>
          <w:szCs w:val="24"/>
        </w:rPr>
      </w:pPr>
    </w:p>
    <w:p w14:paraId="426D1CC2" w14:textId="77777777" w:rsidR="00F6528A" w:rsidRDefault="00F6528A" w:rsidP="00F6528A">
      <w:pPr>
        <w:pStyle w:val="ListParagraph"/>
        <w:ind w:left="0"/>
        <w:rPr>
          <w:rFonts w:cs="Times New Roman"/>
          <w:sz w:val="24"/>
          <w:szCs w:val="24"/>
        </w:rPr>
      </w:pPr>
      <w:r>
        <w:rPr>
          <w:rFonts w:cs="Times New Roman"/>
          <w:sz w:val="24"/>
          <w:szCs w:val="24"/>
        </w:rPr>
        <w:t xml:space="preserve">The practical consequences of this area- or borough-wide approach are considerable, starting with the ways in which headteachers from successful schools are frequently persuaded by </w:t>
      </w:r>
      <w:r>
        <w:rPr>
          <w:rFonts w:cs="Times New Roman"/>
          <w:sz w:val="24"/>
          <w:szCs w:val="24"/>
        </w:rPr>
        <w:lastRenderedPageBreak/>
        <w:t xml:space="preserve">borough authorities to work with less successful ones. Likewise, strong teachers work full- or part time in struggling schools. “We know where good practice is going on,” commented Martin Tune. Numerous formal and informal structures have been created whereby teachers and administrators with similar responsibilities – from subject heads to facilities managers – meet regularly to share information on common concerns.  </w:t>
      </w:r>
    </w:p>
    <w:p w14:paraId="6EF5085B" w14:textId="77777777" w:rsidR="00F6528A" w:rsidRDefault="00F6528A" w:rsidP="00F6528A">
      <w:pPr>
        <w:pStyle w:val="ListParagraph"/>
        <w:ind w:left="0"/>
        <w:rPr>
          <w:rFonts w:cs="Times New Roman"/>
          <w:sz w:val="24"/>
          <w:szCs w:val="24"/>
        </w:rPr>
      </w:pPr>
      <w:r>
        <w:rPr>
          <w:rFonts w:cs="Times New Roman"/>
          <w:sz w:val="24"/>
          <w:szCs w:val="24"/>
        </w:rPr>
        <w:tab/>
        <w:t xml:space="preserve"> </w:t>
      </w:r>
    </w:p>
    <w:p w14:paraId="494E741C" w14:textId="342302FC" w:rsidR="00F6528A" w:rsidRDefault="00F6528A" w:rsidP="00F6528A">
      <w:pPr>
        <w:pStyle w:val="ListParagraph"/>
        <w:ind w:left="0"/>
        <w:rPr>
          <w:rFonts w:cs="Times New Roman"/>
          <w:sz w:val="24"/>
          <w:szCs w:val="24"/>
        </w:rPr>
      </w:pPr>
      <w:r>
        <w:rPr>
          <w:rFonts w:cs="Times New Roman"/>
          <w:sz w:val="24"/>
          <w:szCs w:val="24"/>
        </w:rPr>
        <w:t xml:space="preserve">In Hackney cooperation sometimes takes the form of formal “federations.” These are governing arrangements in which two or more schools operate under a single governing body with an executive headteacher who supervises the headteachers in other member schools. In addition, schools sometimes form less formal “partnerships.” Federations, which typically link failing schools with strong ones, are seen a way to enhance overall capacity through the sharing of leadership and resources. For example, the first federation came about after the headteacher of Holy Trinity Primary school resigned in the wake of a negative Ofsted report, and Sian Davies, the head of the successful St. John &amp; St. James Primary school, was recruited to serve as “executive head” of both schools. Davies instituted a recovery plan that involved, among other things, using teachers at St. John &amp; St. James to model effective instruction and promoting two of her outstanding teachers to become “heads of school,” one at each school </w:t>
      </w:r>
      <w:r w:rsidRPr="00E75A50">
        <w:rPr>
          <w:rFonts w:cs="Times New Roman"/>
          <w:sz w:val="24"/>
          <w:szCs w:val="24"/>
        </w:rPr>
        <w:t>(Fullan, 2014).</w:t>
      </w:r>
      <w:r>
        <w:rPr>
          <w:rFonts w:cs="Times New Roman"/>
          <w:sz w:val="24"/>
          <w:szCs w:val="24"/>
        </w:rPr>
        <w:t xml:space="preserve"> </w:t>
      </w:r>
      <w:r w:rsidR="0063446F">
        <w:rPr>
          <w:rFonts w:cs="Times New Roman"/>
          <w:sz w:val="24"/>
          <w:szCs w:val="24"/>
        </w:rPr>
        <w:t>One incentive for the federations in Hackney was the difficulty in some cases of attracting qualified head teachers.</w:t>
      </w:r>
      <w:r>
        <w:rPr>
          <w:rFonts w:cs="Times New Roman"/>
          <w:sz w:val="24"/>
          <w:szCs w:val="24"/>
        </w:rPr>
        <w:t xml:space="preserve"> </w:t>
      </w:r>
    </w:p>
    <w:p w14:paraId="61C9231F" w14:textId="77777777" w:rsidR="00F6528A" w:rsidRDefault="00F6528A" w:rsidP="00F6528A">
      <w:pPr>
        <w:pStyle w:val="ListParagraph"/>
        <w:ind w:left="0"/>
        <w:rPr>
          <w:rFonts w:cs="Times New Roman"/>
          <w:sz w:val="24"/>
          <w:szCs w:val="24"/>
        </w:rPr>
      </w:pPr>
    </w:p>
    <w:p w14:paraId="7C554B01" w14:textId="77777777" w:rsidR="00F6528A" w:rsidRDefault="00F6528A" w:rsidP="00F6528A">
      <w:pPr>
        <w:pStyle w:val="ListParagraph"/>
        <w:ind w:left="0"/>
        <w:rPr>
          <w:rFonts w:cs="Times New Roman"/>
          <w:sz w:val="24"/>
          <w:szCs w:val="24"/>
        </w:rPr>
      </w:pPr>
      <w:r>
        <w:rPr>
          <w:rFonts w:cs="Times New Roman"/>
          <w:sz w:val="24"/>
          <w:szCs w:val="24"/>
        </w:rPr>
        <w:t xml:space="preserve">Membership in federations and partnerships is fluid, with schools often moving in and out of such arrangements. At the present time there are currently eight federations in Hackney involving two dozen schools. </w:t>
      </w:r>
      <w:r w:rsidRPr="001A232F">
        <w:rPr>
          <w:rFonts w:cs="Times New Roman"/>
          <w:sz w:val="24"/>
          <w:szCs w:val="24"/>
        </w:rPr>
        <w:t xml:space="preserve">Nicole Reid, head teacher at Shacklewell Primary School is executive director of a </w:t>
      </w:r>
      <w:r>
        <w:rPr>
          <w:rFonts w:cs="Times New Roman"/>
          <w:sz w:val="24"/>
          <w:szCs w:val="24"/>
        </w:rPr>
        <w:t xml:space="preserve">three-year old </w:t>
      </w:r>
      <w:r w:rsidRPr="001A232F">
        <w:rPr>
          <w:rFonts w:cs="Times New Roman"/>
          <w:sz w:val="24"/>
          <w:szCs w:val="24"/>
        </w:rPr>
        <w:t>federation that also includes Grazebrook and Woodberry Down Primary School</w:t>
      </w:r>
      <w:r>
        <w:rPr>
          <w:rFonts w:cs="Times New Roman"/>
          <w:sz w:val="24"/>
          <w:szCs w:val="24"/>
        </w:rPr>
        <w:t>s. Leaders of the three schools collaborate on professional development and other instructional issues, and they pool resources to share specialists, such as art and music teachers and counselors, that they would otherwise not be able to afford.  “We think of ourselves as teachers in a federation, not in an individual school,” commented Michelle Thomas, the headteacher at Grazebrook.</w:t>
      </w:r>
    </w:p>
    <w:p w14:paraId="6F2B5108" w14:textId="77777777" w:rsidR="00F6528A" w:rsidRDefault="00F6528A" w:rsidP="00F6528A">
      <w:pPr>
        <w:pStyle w:val="ListParagraph"/>
        <w:ind w:left="0"/>
        <w:rPr>
          <w:rFonts w:cs="Times New Roman"/>
          <w:sz w:val="24"/>
          <w:szCs w:val="24"/>
        </w:rPr>
      </w:pPr>
    </w:p>
    <w:p w14:paraId="6BD0A0DB" w14:textId="784E9267" w:rsidR="00F6528A" w:rsidRDefault="00F6528A" w:rsidP="00F6528A">
      <w:pPr>
        <w:pStyle w:val="ListParagraph"/>
        <w:ind w:left="0"/>
        <w:rPr>
          <w:rFonts w:cs="Times New Roman"/>
          <w:sz w:val="24"/>
          <w:szCs w:val="24"/>
        </w:rPr>
      </w:pPr>
      <w:r>
        <w:rPr>
          <w:rFonts w:cs="Times New Roman"/>
          <w:sz w:val="24"/>
          <w:szCs w:val="24"/>
        </w:rPr>
        <w:t>By contrast, schools in Tower Hamlets have for the most part resisted banding together into formal federations or partnerships</w:t>
      </w:r>
      <w:r w:rsidR="0063446F">
        <w:rPr>
          <w:rFonts w:cs="Times New Roman"/>
          <w:sz w:val="24"/>
          <w:szCs w:val="24"/>
        </w:rPr>
        <w:t xml:space="preserve">. </w:t>
      </w:r>
      <w:r w:rsidR="00F808F4">
        <w:rPr>
          <w:rFonts w:cs="Times New Roman"/>
          <w:sz w:val="24"/>
          <w:szCs w:val="24"/>
        </w:rPr>
        <w:t xml:space="preserve"> Given the </w:t>
      </w:r>
      <w:r>
        <w:rPr>
          <w:rFonts w:cs="Times New Roman"/>
          <w:sz w:val="24"/>
          <w:szCs w:val="24"/>
        </w:rPr>
        <w:t>web of informal relationships that are part of the educational climate in the borough</w:t>
      </w:r>
      <w:r w:rsidR="00F808F4">
        <w:rPr>
          <w:rFonts w:cs="Times New Roman"/>
          <w:sz w:val="24"/>
          <w:szCs w:val="24"/>
        </w:rPr>
        <w:t>,</w:t>
      </w:r>
      <w:r>
        <w:rPr>
          <w:rFonts w:cs="Times New Roman"/>
          <w:sz w:val="24"/>
          <w:szCs w:val="24"/>
        </w:rPr>
        <w:t xml:space="preserve"> </w:t>
      </w:r>
      <w:r w:rsidR="005349C7">
        <w:rPr>
          <w:rFonts w:cs="Times New Roman"/>
          <w:sz w:val="24"/>
          <w:szCs w:val="24"/>
        </w:rPr>
        <w:t xml:space="preserve">and an adequate supply of good </w:t>
      </w:r>
      <w:r w:rsidR="0063446F">
        <w:rPr>
          <w:rFonts w:cs="Times New Roman"/>
          <w:sz w:val="24"/>
          <w:szCs w:val="24"/>
        </w:rPr>
        <w:t xml:space="preserve">head teachers, </w:t>
      </w:r>
      <w:r>
        <w:rPr>
          <w:rFonts w:cs="Times New Roman"/>
          <w:sz w:val="24"/>
          <w:szCs w:val="24"/>
        </w:rPr>
        <w:t xml:space="preserve">they </w:t>
      </w:r>
      <w:r w:rsidR="00F808F4">
        <w:rPr>
          <w:rFonts w:cs="Times New Roman"/>
          <w:sz w:val="24"/>
          <w:szCs w:val="24"/>
        </w:rPr>
        <w:t xml:space="preserve">were </w:t>
      </w:r>
      <w:r>
        <w:rPr>
          <w:rFonts w:cs="Times New Roman"/>
          <w:sz w:val="24"/>
          <w:szCs w:val="24"/>
        </w:rPr>
        <w:t>viewed as unnecessary. “We all share ideas and go to meetings,” said Gillian Kemp of Cyril Jackson. “We can always find someone on the phone to help.”</w:t>
      </w:r>
    </w:p>
    <w:p w14:paraId="3DB7E2A0" w14:textId="77777777" w:rsidR="00F6528A" w:rsidRDefault="00F6528A" w:rsidP="00F6528A">
      <w:pPr>
        <w:pStyle w:val="ListParagraph"/>
        <w:ind w:left="0"/>
        <w:rPr>
          <w:rFonts w:cs="Times New Roman"/>
          <w:sz w:val="24"/>
          <w:szCs w:val="24"/>
        </w:rPr>
      </w:pPr>
    </w:p>
    <w:p w14:paraId="527DF1B6" w14:textId="77777777" w:rsidR="00F6528A" w:rsidRDefault="00F6528A" w:rsidP="00F6528A">
      <w:pPr>
        <w:pStyle w:val="ListParagraph"/>
        <w:ind w:left="0"/>
        <w:rPr>
          <w:rFonts w:cs="Times New Roman"/>
          <w:sz w:val="24"/>
          <w:szCs w:val="24"/>
        </w:rPr>
      </w:pPr>
      <w:r>
        <w:rPr>
          <w:rFonts w:cs="Times New Roman"/>
          <w:sz w:val="24"/>
          <w:szCs w:val="24"/>
        </w:rPr>
        <w:t xml:space="preserve">In both boroughs this culture of cooperation is driven in part by the attitude that educational success at the borough level is defined not simply by the achievements of some high-flying </w:t>
      </w:r>
      <w:r>
        <w:rPr>
          <w:rFonts w:cs="Times New Roman"/>
          <w:sz w:val="24"/>
          <w:szCs w:val="24"/>
        </w:rPr>
        <w:lastRenderedPageBreak/>
        <w:t xml:space="preserve">schools but by collective success. “Our view is that we are only as good as our weakest school,” commented Terry Parkin. </w:t>
      </w:r>
    </w:p>
    <w:p w14:paraId="44AEA7F0" w14:textId="77777777" w:rsidR="00F6528A" w:rsidRDefault="00F6528A" w:rsidP="00F6528A">
      <w:pPr>
        <w:pStyle w:val="ListParagraph"/>
        <w:ind w:left="0"/>
        <w:rPr>
          <w:rFonts w:cs="Times New Roman"/>
          <w:sz w:val="24"/>
          <w:szCs w:val="24"/>
        </w:rPr>
      </w:pPr>
    </w:p>
    <w:p w14:paraId="7B6D6D56" w14:textId="77777777" w:rsidR="001011FB" w:rsidRDefault="00F6528A" w:rsidP="00AD489D">
      <w:pPr>
        <w:pStyle w:val="ListParagraph"/>
        <w:ind w:left="0"/>
        <w:rPr>
          <w:rFonts w:cs="Times New Roman"/>
          <w:sz w:val="24"/>
          <w:szCs w:val="24"/>
        </w:rPr>
      </w:pPr>
      <w:r>
        <w:rPr>
          <w:rFonts w:cs="Times New Roman"/>
          <w:sz w:val="24"/>
          <w:szCs w:val="24"/>
        </w:rPr>
        <w:t xml:space="preserve">Educators in the two boroughs say that this “we’re all in it together” attitude has the effect of reducing destructive competition between schools. “There is </w:t>
      </w:r>
      <w:r w:rsidR="00207801">
        <w:rPr>
          <w:rFonts w:cs="Times New Roman"/>
          <w:sz w:val="24"/>
          <w:szCs w:val="24"/>
        </w:rPr>
        <w:t xml:space="preserve">a </w:t>
      </w:r>
      <w:r>
        <w:rPr>
          <w:rFonts w:cs="Times New Roman"/>
          <w:sz w:val="24"/>
          <w:szCs w:val="24"/>
        </w:rPr>
        <w:t xml:space="preserve">healthy spirit of competition in the sense that we want to be as good as the next school,” observed Martin Tune.  The fact that there are plenty of examples of schools doing well while serving large numbers of disadvantaged pupils also serves as a prod to improvement. “It makes it harder for schools to be weak,” said Christine Gilbert. It also leads to a largely non-punitive climate. </w:t>
      </w:r>
    </w:p>
    <w:p w14:paraId="30088390" w14:textId="77777777" w:rsidR="00AD489D" w:rsidRPr="00CA57E3" w:rsidRDefault="00AD489D" w:rsidP="00AD489D">
      <w:pPr>
        <w:pStyle w:val="ListParagraph"/>
        <w:ind w:left="0"/>
        <w:rPr>
          <w:rFonts w:cs="Times New Roman"/>
          <w:sz w:val="24"/>
          <w:szCs w:val="24"/>
        </w:rPr>
      </w:pPr>
    </w:p>
    <w:p w14:paraId="51AC06F3" w14:textId="77777777" w:rsidR="001011FB" w:rsidRPr="00AA355D" w:rsidRDefault="001011FB" w:rsidP="001011FB">
      <w:pPr>
        <w:pStyle w:val="ListParagraph"/>
        <w:ind w:left="0"/>
        <w:rPr>
          <w:rFonts w:cs="Times New Roman"/>
          <w:b/>
          <w:sz w:val="32"/>
          <w:szCs w:val="32"/>
        </w:rPr>
      </w:pPr>
      <w:r>
        <w:rPr>
          <w:rFonts w:cs="Times New Roman"/>
          <w:b/>
          <w:sz w:val="32"/>
          <w:szCs w:val="32"/>
        </w:rPr>
        <w:t>Concluding o</w:t>
      </w:r>
      <w:r w:rsidRPr="00AA355D">
        <w:rPr>
          <w:rFonts w:cs="Times New Roman"/>
          <w:b/>
          <w:sz w:val="32"/>
          <w:szCs w:val="32"/>
        </w:rPr>
        <w:t>bservations</w:t>
      </w:r>
      <w:r>
        <w:rPr>
          <w:rFonts w:cs="Times New Roman"/>
          <w:b/>
          <w:sz w:val="32"/>
          <w:szCs w:val="32"/>
        </w:rPr>
        <w:t xml:space="preserve"> </w:t>
      </w:r>
    </w:p>
    <w:p w14:paraId="4F9377BC" w14:textId="77777777" w:rsidR="001011FB" w:rsidRDefault="001011FB" w:rsidP="001011FB">
      <w:pPr>
        <w:pStyle w:val="ListParagraph"/>
        <w:ind w:left="0"/>
        <w:rPr>
          <w:rFonts w:cs="Times New Roman"/>
          <w:sz w:val="24"/>
          <w:szCs w:val="24"/>
        </w:rPr>
      </w:pPr>
    </w:p>
    <w:p w14:paraId="676550DE" w14:textId="77777777" w:rsidR="001011FB" w:rsidRDefault="001011FB" w:rsidP="001011FB">
      <w:pPr>
        <w:pStyle w:val="ListParagraph"/>
        <w:ind w:left="0"/>
        <w:rPr>
          <w:rFonts w:cs="Times New Roman"/>
          <w:sz w:val="24"/>
          <w:szCs w:val="24"/>
        </w:rPr>
      </w:pPr>
      <w:r>
        <w:rPr>
          <w:rFonts w:cs="Times New Roman"/>
          <w:sz w:val="24"/>
          <w:szCs w:val="24"/>
        </w:rPr>
        <w:t xml:space="preserve">The evidence shows that the primary </w:t>
      </w:r>
      <w:r w:rsidRPr="000671C2">
        <w:rPr>
          <w:rFonts w:cs="Times New Roman"/>
          <w:sz w:val="24"/>
          <w:szCs w:val="24"/>
        </w:rPr>
        <w:t xml:space="preserve">schools in both </w:t>
      </w:r>
      <w:r>
        <w:rPr>
          <w:rFonts w:cs="Times New Roman"/>
          <w:sz w:val="24"/>
          <w:szCs w:val="24"/>
        </w:rPr>
        <w:t xml:space="preserve">Hackney and Tower Hamlets </w:t>
      </w:r>
      <w:r w:rsidRPr="000671C2">
        <w:rPr>
          <w:rFonts w:cs="Times New Roman"/>
          <w:sz w:val="24"/>
          <w:szCs w:val="24"/>
        </w:rPr>
        <w:t>improved significantly over time, and that all children benef</w:t>
      </w:r>
      <w:r>
        <w:rPr>
          <w:rFonts w:cs="Times New Roman"/>
          <w:sz w:val="24"/>
          <w:szCs w:val="24"/>
        </w:rPr>
        <w:t>itted, including those from low-</w:t>
      </w:r>
      <w:r w:rsidRPr="000671C2">
        <w:rPr>
          <w:rFonts w:cs="Times New Roman"/>
          <w:sz w:val="24"/>
          <w:szCs w:val="24"/>
        </w:rPr>
        <w:t>income families.</w:t>
      </w:r>
      <w:r>
        <w:rPr>
          <w:rFonts w:cs="Times New Roman"/>
          <w:sz w:val="24"/>
          <w:szCs w:val="24"/>
        </w:rPr>
        <w:t xml:space="preserve">  Evidence also shows that the key to the London Effect at the primary level as it developed in these two boroughs – and most likely in other Inner London boroughs as well – was the fact that schools got </w:t>
      </w:r>
      <w:r w:rsidRPr="000671C2">
        <w:rPr>
          <w:rFonts w:cs="Times New Roman"/>
          <w:sz w:val="24"/>
          <w:szCs w:val="24"/>
        </w:rPr>
        <w:t>better</w:t>
      </w:r>
      <w:r>
        <w:rPr>
          <w:rFonts w:cs="Times New Roman"/>
          <w:sz w:val="24"/>
          <w:szCs w:val="24"/>
        </w:rPr>
        <w:t xml:space="preserve">. To be sure, </w:t>
      </w:r>
      <w:r w:rsidRPr="000671C2">
        <w:rPr>
          <w:rFonts w:cs="Times New Roman"/>
          <w:sz w:val="24"/>
          <w:szCs w:val="24"/>
        </w:rPr>
        <w:t>other factors</w:t>
      </w:r>
      <w:r>
        <w:rPr>
          <w:rFonts w:cs="Times New Roman"/>
          <w:sz w:val="24"/>
          <w:szCs w:val="24"/>
        </w:rPr>
        <w:t xml:space="preserve"> facilitated the task of school improvement in both areas, s</w:t>
      </w:r>
      <w:r w:rsidRPr="000671C2">
        <w:rPr>
          <w:rFonts w:cs="Times New Roman"/>
          <w:sz w:val="24"/>
          <w:szCs w:val="24"/>
        </w:rPr>
        <w:t xml:space="preserve">uch as </w:t>
      </w:r>
      <w:r>
        <w:rPr>
          <w:rFonts w:cs="Times New Roman"/>
          <w:sz w:val="24"/>
          <w:szCs w:val="24"/>
        </w:rPr>
        <w:t xml:space="preserve">the declining share of </w:t>
      </w:r>
      <w:r w:rsidRPr="000671C2">
        <w:rPr>
          <w:rFonts w:cs="Times New Roman"/>
          <w:sz w:val="24"/>
          <w:szCs w:val="24"/>
        </w:rPr>
        <w:t>disadvantaged families</w:t>
      </w:r>
      <w:r>
        <w:rPr>
          <w:rFonts w:cs="Times New Roman"/>
          <w:sz w:val="24"/>
          <w:szCs w:val="24"/>
        </w:rPr>
        <w:t>, the presence of motivated immigrant familie</w:t>
      </w:r>
      <w:r w:rsidRPr="00F74E60">
        <w:rPr>
          <w:rFonts w:cs="Times New Roman"/>
          <w:i/>
          <w:sz w:val="24"/>
          <w:szCs w:val="24"/>
        </w:rPr>
        <w:t>s,</w:t>
      </w:r>
      <w:r>
        <w:rPr>
          <w:rFonts w:cs="Times New Roman"/>
          <w:sz w:val="24"/>
          <w:szCs w:val="24"/>
        </w:rPr>
        <w:t xml:space="preserve"> a </w:t>
      </w:r>
      <w:r w:rsidRPr="00F74E60">
        <w:rPr>
          <w:rFonts w:cs="Times New Roman"/>
          <w:sz w:val="24"/>
          <w:szCs w:val="24"/>
        </w:rPr>
        <w:t xml:space="preserve">national </w:t>
      </w:r>
      <w:r>
        <w:rPr>
          <w:rFonts w:cs="Times New Roman"/>
          <w:sz w:val="24"/>
          <w:szCs w:val="24"/>
        </w:rPr>
        <w:t xml:space="preserve">funding </w:t>
      </w:r>
      <w:r w:rsidRPr="00F74E60">
        <w:rPr>
          <w:rFonts w:cs="Times New Roman"/>
          <w:sz w:val="24"/>
          <w:szCs w:val="24"/>
        </w:rPr>
        <w:t>polic</w:t>
      </w:r>
      <w:r>
        <w:rPr>
          <w:rFonts w:cs="Times New Roman"/>
          <w:sz w:val="24"/>
          <w:szCs w:val="24"/>
        </w:rPr>
        <w:t>y t</w:t>
      </w:r>
      <w:r w:rsidRPr="00F74E60">
        <w:rPr>
          <w:rFonts w:cs="Times New Roman"/>
          <w:sz w:val="24"/>
          <w:szCs w:val="24"/>
        </w:rPr>
        <w:t xml:space="preserve">hat provided for disproportionately high funding for disadvantaged students </w:t>
      </w:r>
      <w:r>
        <w:rPr>
          <w:rFonts w:cs="Times New Roman"/>
          <w:sz w:val="24"/>
          <w:szCs w:val="24"/>
        </w:rPr>
        <w:t xml:space="preserve">and a national inspection-based school accountability system.  </w:t>
      </w:r>
      <w:r w:rsidRPr="0042085D">
        <w:rPr>
          <w:rFonts w:cs="Times New Roman"/>
          <w:sz w:val="24"/>
          <w:szCs w:val="24"/>
        </w:rPr>
        <w:t>Nonetheless, policy decisions and</w:t>
      </w:r>
      <w:r>
        <w:rPr>
          <w:rFonts w:cs="Times New Roman"/>
          <w:sz w:val="24"/>
          <w:szCs w:val="24"/>
        </w:rPr>
        <w:t xml:space="preserve"> actions at the local level also played decisive roles. </w:t>
      </w:r>
    </w:p>
    <w:p w14:paraId="34DC523B" w14:textId="77777777" w:rsidR="001011FB" w:rsidRDefault="001011FB" w:rsidP="001011FB">
      <w:pPr>
        <w:pStyle w:val="ListParagraph"/>
        <w:ind w:left="0"/>
        <w:rPr>
          <w:rFonts w:cs="Times New Roman"/>
          <w:sz w:val="24"/>
          <w:szCs w:val="24"/>
        </w:rPr>
      </w:pPr>
      <w:r w:rsidRPr="000671C2">
        <w:rPr>
          <w:rFonts w:cs="Times New Roman"/>
          <w:sz w:val="24"/>
          <w:szCs w:val="24"/>
        </w:rPr>
        <w:t xml:space="preserve"> </w:t>
      </w:r>
    </w:p>
    <w:p w14:paraId="034B6566" w14:textId="77777777" w:rsidR="001011FB" w:rsidRDefault="001011FB" w:rsidP="001011FB">
      <w:pPr>
        <w:pStyle w:val="ListParagraph"/>
        <w:ind w:left="0"/>
        <w:rPr>
          <w:rFonts w:cs="Times New Roman"/>
          <w:sz w:val="24"/>
          <w:szCs w:val="24"/>
        </w:rPr>
      </w:pPr>
      <w:r>
        <w:rPr>
          <w:rFonts w:cs="Times New Roman"/>
          <w:sz w:val="24"/>
          <w:szCs w:val="24"/>
        </w:rPr>
        <w:t xml:space="preserve">We draw the following conclusions from our investigation. </w:t>
      </w:r>
    </w:p>
    <w:p w14:paraId="7E7DA3DC" w14:textId="77777777" w:rsidR="001011FB" w:rsidRDefault="001011FB" w:rsidP="001011FB">
      <w:pPr>
        <w:pStyle w:val="ListParagraph"/>
        <w:ind w:left="0"/>
        <w:rPr>
          <w:rFonts w:cs="Times New Roman"/>
          <w:sz w:val="24"/>
          <w:szCs w:val="24"/>
        </w:rPr>
      </w:pPr>
    </w:p>
    <w:p w14:paraId="35043CC4" w14:textId="2A6FAFAC" w:rsidR="001011FB" w:rsidRDefault="001011FB" w:rsidP="001011FB">
      <w:pPr>
        <w:pStyle w:val="ListParagraph"/>
        <w:ind w:left="0"/>
        <w:rPr>
          <w:rFonts w:cs="Times New Roman"/>
          <w:sz w:val="24"/>
          <w:szCs w:val="24"/>
        </w:rPr>
      </w:pPr>
      <w:r>
        <w:rPr>
          <w:rFonts w:cs="Times New Roman"/>
          <w:sz w:val="24"/>
          <w:szCs w:val="24"/>
        </w:rPr>
        <w:t xml:space="preserve">First, contrary to much popular wisdom and the experience of numerous developed countries, it is possible for a country to provide high quality schooling that leads to </w:t>
      </w:r>
      <w:r w:rsidRPr="00CC4F56">
        <w:rPr>
          <w:rFonts w:cs="Times New Roman"/>
          <w:b/>
          <w:sz w:val="24"/>
          <w:szCs w:val="24"/>
        </w:rPr>
        <w:t>high levels of average achievement across densely populated urban areas with large concentrations of disadvantaged students.</w:t>
      </w:r>
      <w:r>
        <w:rPr>
          <w:rFonts w:cs="Times New Roman"/>
          <w:sz w:val="24"/>
          <w:szCs w:val="24"/>
        </w:rPr>
        <w:t xml:space="preserve"> As of 2011, </w:t>
      </w:r>
      <w:r w:rsidR="00163FA4">
        <w:rPr>
          <w:rFonts w:cs="Times New Roman"/>
          <w:sz w:val="24"/>
          <w:szCs w:val="24"/>
        </w:rPr>
        <w:t>11-year-old</w:t>
      </w:r>
      <w:r>
        <w:rPr>
          <w:rFonts w:cs="Times New Roman"/>
          <w:sz w:val="24"/>
          <w:szCs w:val="24"/>
        </w:rPr>
        <w:t xml:space="preserve"> pupils in both Hackney and Tower Hamlets were achieving above the national average, and most schools in both boroughs were rated by Ofsted as good or better. Thus</w:t>
      </w:r>
      <w:r w:rsidR="00163FA4">
        <w:rPr>
          <w:rFonts w:cs="Times New Roman"/>
          <w:sz w:val="24"/>
          <w:szCs w:val="24"/>
        </w:rPr>
        <w:t>,</w:t>
      </w:r>
      <w:r>
        <w:rPr>
          <w:rFonts w:cs="Times New Roman"/>
          <w:sz w:val="24"/>
          <w:szCs w:val="24"/>
        </w:rPr>
        <w:t xml:space="preserve"> the so-called London Effect was real.</w:t>
      </w:r>
    </w:p>
    <w:p w14:paraId="7E9BEFC2" w14:textId="77777777" w:rsidR="001011FB" w:rsidRDefault="001011FB" w:rsidP="001011FB">
      <w:pPr>
        <w:pStyle w:val="ListParagraph"/>
        <w:ind w:left="0"/>
        <w:rPr>
          <w:rFonts w:cs="Times New Roman"/>
          <w:sz w:val="24"/>
          <w:szCs w:val="24"/>
        </w:rPr>
      </w:pPr>
    </w:p>
    <w:p w14:paraId="3F49ED66" w14:textId="77777777" w:rsidR="001011FB" w:rsidRDefault="001011FB" w:rsidP="001011FB">
      <w:pPr>
        <w:pStyle w:val="ListParagraph"/>
        <w:ind w:left="0"/>
        <w:rPr>
          <w:rFonts w:cs="Times New Roman"/>
          <w:sz w:val="24"/>
          <w:szCs w:val="24"/>
        </w:rPr>
      </w:pPr>
      <w:r>
        <w:rPr>
          <w:rFonts w:cs="Times New Roman"/>
          <w:sz w:val="24"/>
          <w:szCs w:val="24"/>
        </w:rPr>
        <w:t xml:space="preserve">Second, a key to the educational success of each area was </w:t>
      </w:r>
      <w:r w:rsidRPr="00CC4F56">
        <w:rPr>
          <w:rFonts w:cs="Times New Roman"/>
          <w:b/>
          <w:sz w:val="24"/>
          <w:szCs w:val="24"/>
        </w:rPr>
        <w:t>strong educational leadership</w:t>
      </w:r>
      <w:r>
        <w:rPr>
          <w:rFonts w:cs="Times New Roman"/>
          <w:sz w:val="24"/>
          <w:szCs w:val="24"/>
        </w:rPr>
        <w:t xml:space="preserve"> at the local area-wide level, which in London means boroughs. Significantly, in each area the rise in student achievement coincided with changes in borough-wide education leadership that had the active or tacit support of the local council. In the case of Tower Hamlets, the educational leaders worked effectively with local political leaders. In Hackney, the educational leaders were isolated from the vagaries of the political process for a limited period of time in order to focus </w:t>
      </w:r>
      <w:r>
        <w:rPr>
          <w:rFonts w:cs="Times New Roman"/>
          <w:sz w:val="24"/>
          <w:szCs w:val="24"/>
        </w:rPr>
        <w:lastRenderedPageBreak/>
        <w:t xml:space="preserve">on their educational mission. Importantly, though, everyone in Hackney understood that responsibility for education would, after ten years, be returned to the local council.   </w:t>
      </w:r>
    </w:p>
    <w:p w14:paraId="122528B7" w14:textId="77777777" w:rsidR="001011FB" w:rsidRDefault="001011FB" w:rsidP="001011FB">
      <w:pPr>
        <w:pStyle w:val="ListParagraph"/>
        <w:rPr>
          <w:rFonts w:cs="Times New Roman"/>
          <w:sz w:val="24"/>
          <w:szCs w:val="24"/>
        </w:rPr>
      </w:pPr>
    </w:p>
    <w:p w14:paraId="3697B2F9" w14:textId="77777777" w:rsidR="001011FB" w:rsidRDefault="001011FB" w:rsidP="001011FB">
      <w:pPr>
        <w:pStyle w:val="ListParagraph"/>
        <w:ind w:left="0"/>
        <w:rPr>
          <w:rFonts w:cs="Times New Roman"/>
          <w:sz w:val="24"/>
          <w:szCs w:val="24"/>
        </w:rPr>
      </w:pPr>
      <w:r>
        <w:rPr>
          <w:rFonts w:cs="Times New Roman"/>
          <w:sz w:val="24"/>
          <w:szCs w:val="24"/>
        </w:rPr>
        <w:t xml:space="preserve">Third, educational improvement in both boroughs was driven by a compelling </w:t>
      </w:r>
      <w:r w:rsidRPr="00115AA6">
        <w:rPr>
          <w:rFonts w:cs="Times New Roman"/>
          <w:b/>
          <w:sz w:val="24"/>
          <w:szCs w:val="24"/>
        </w:rPr>
        <w:t>shared vision</w:t>
      </w:r>
      <w:r>
        <w:rPr>
          <w:rFonts w:cs="Times New Roman"/>
          <w:b/>
          <w:sz w:val="24"/>
          <w:szCs w:val="24"/>
        </w:rPr>
        <w:t xml:space="preserve"> </w:t>
      </w:r>
      <w:r>
        <w:rPr>
          <w:rFonts w:cs="Times New Roman"/>
          <w:sz w:val="24"/>
          <w:szCs w:val="24"/>
        </w:rPr>
        <w:t xml:space="preserve">that became the basis for significant changes in the culture surrounding the delivery of educational services. This shared vision was built on the twin pillars of high expectations for all children and a sense of collective responsibility for all children in the respective boroughs. The assertion that </w:t>
      </w:r>
      <w:r w:rsidRPr="00A564D5">
        <w:rPr>
          <w:rFonts w:cs="Times New Roman"/>
          <w:i/>
          <w:sz w:val="24"/>
          <w:szCs w:val="24"/>
        </w:rPr>
        <w:t xml:space="preserve">all </w:t>
      </w:r>
      <w:r>
        <w:rPr>
          <w:rFonts w:cs="Times New Roman"/>
          <w:sz w:val="24"/>
          <w:szCs w:val="24"/>
        </w:rPr>
        <w:t xml:space="preserve">children can achieve academic success when given appropriate support was important because it countered the notion that poverty was an acceptable excuse for low academic expectations. That assertion was particularly clear in Tower Hamlets, where educators previously had viewed their primary responsibility as providing children with a safe and secure environment, not promoting high achievement by all pupils. The commitment to collective responsibility for all children in the area made it possible for leaders to get all stakeholders working together and to make the most efficient and effective use of borough resources, human and otherwise.   </w:t>
      </w:r>
    </w:p>
    <w:p w14:paraId="74B9C0A9" w14:textId="77777777" w:rsidR="001011FB" w:rsidRDefault="001011FB" w:rsidP="001011FB">
      <w:pPr>
        <w:pStyle w:val="ListParagraph"/>
        <w:ind w:left="0"/>
        <w:rPr>
          <w:rFonts w:cs="Times New Roman"/>
          <w:sz w:val="24"/>
          <w:szCs w:val="24"/>
        </w:rPr>
      </w:pPr>
    </w:p>
    <w:p w14:paraId="15211B2B" w14:textId="19B32EE8" w:rsidR="001011FB" w:rsidRDefault="001011FB" w:rsidP="001011FB">
      <w:pPr>
        <w:pStyle w:val="ListParagraph"/>
        <w:ind w:left="0"/>
        <w:rPr>
          <w:rFonts w:cs="Times New Roman"/>
          <w:sz w:val="24"/>
          <w:szCs w:val="24"/>
        </w:rPr>
      </w:pPr>
      <w:r>
        <w:rPr>
          <w:rFonts w:cs="Times New Roman"/>
          <w:sz w:val="24"/>
          <w:szCs w:val="24"/>
        </w:rPr>
        <w:t xml:space="preserve">Fourth, both boroughs understood that fulfilling their two-pronged shared vision requires a </w:t>
      </w:r>
      <w:r w:rsidRPr="00115AA6">
        <w:rPr>
          <w:rFonts w:cs="Times New Roman"/>
          <w:b/>
          <w:sz w:val="24"/>
          <w:szCs w:val="24"/>
        </w:rPr>
        <w:t>systemic approach</w:t>
      </w:r>
      <w:r>
        <w:rPr>
          <w:rFonts w:cs="Times New Roman"/>
          <w:sz w:val="24"/>
          <w:szCs w:val="24"/>
        </w:rPr>
        <w:t xml:space="preserve"> in which all elements involved in the delivery of education work together toward common goals. The education system is seen not as a collection of independent schools competing with each other but rather as a coherent whole. Operationally, such an approach implies borough-wide coordination of curriculum, professional development, assessment and other key elements as well as cooperative deployment of teachers and other personnel. Under such a systemic approach, success is defined not by the performance of a few high-flying schools but by how well all schools are doing, especially those with the most disadvantaged pupils. Healthy competition among schools is encouraged not in the spirit of a zero-sum game but as a spur to improvement.  </w:t>
      </w:r>
    </w:p>
    <w:p w14:paraId="321BF931" w14:textId="77777777" w:rsidR="001011FB" w:rsidRDefault="001011FB" w:rsidP="001011FB">
      <w:pPr>
        <w:pStyle w:val="ListParagraph"/>
        <w:ind w:left="0"/>
        <w:rPr>
          <w:rFonts w:cs="Times New Roman"/>
          <w:sz w:val="24"/>
          <w:szCs w:val="24"/>
        </w:rPr>
      </w:pPr>
    </w:p>
    <w:p w14:paraId="7633ABF5" w14:textId="501EB87E" w:rsidR="001011FB" w:rsidRDefault="001011FB" w:rsidP="001011FB">
      <w:pPr>
        <w:pStyle w:val="ListParagraph"/>
        <w:ind w:left="0"/>
        <w:rPr>
          <w:rFonts w:cs="Times New Roman"/>
          <w:sz w:val="24"/>
          <w:szCs w:val="24"/>
        </w:rPr>
      </w:pPr>
      <w:r>
        <w:rPr>
          <w:rFonts w:cs="Times New Roman"/>
          <w:sz w:val="24"/>
          <w:szCs w:val="24"/>
        </w:rPr>
        <w:t xml:space="preserve">Fifth, importantly the boroughs were able to realize the vision in part because they had </w:t>
      </w:r>
      <w:r w:rsidRPr="00115AA6">
        <w:rPr>
          <w:rFonts w:cs="Times New Roman"/>
          <w:b/>
          <w:sz w:val="24"/>
          <w:szCs w:val="24"/>
        </w:rPr>
        <w:t xml:space="preserve">sufficient resources </w:t>
      </w:r>
      <w:r>
        <w:rPr>
          <w:rFonts w:cs="Times New Roman"/>
          <w:sz w:val="24"/>
          <w:szCs w:val="24"/>
        </w:rPr>
        <w:t xml:space="preserve">from the national government, which understood that more resources are needed to address the many challenges that low-income children bring to school. Attending to the challenges that </w:t>
      </w:r>
      <w:r w:rsidR="00163FA4">
        <w:rPr>
          <w:rFonts w:cs="Times New Roman"/>
          <w:sz w:val="24"/>
          <w:szCs w:val="24"/>
        </w:rPr>
        <w:t>low-income</w:t>
      </w:r>
      <w:r>
        <w:rPr>
          <w:rFonts w:cs="Times New Roman"/>
          <w:sz w:val="24"/>
          <w:szCs w:val="24"/>
        </w:rPr>
        <w:t xml:space="preserve"> children bring to the classroom clearly requires substantial dedicated resources.  The experience of the two boroughs illustrates, however, that money alone is not sufficient to assure educational success. Strong leadership and a systematic approach in pursuit of a clear vision are also required. In other words, the money must be well spent.</w:t>
      </w:r>
    </w:p>
    <w:p w14:paraId="3758CA12" w14:textId="77777777" w:rsidR="001011FB" w:rsidRDefault="001011FB" w:rsidP="001011FB">
      <w:pPr>
        <w:pStyle w:val="ListParagraph"/>
        <w:ind w:left="0"/>
        <w:rPr>
          <w:rFonts w:cs="Times New Roman"/>
          <w:sz w:val="24"/>
          <w:szCs w:val="24"/>
        </w:rPr>
      </w:pPr>
    </w:p>
    <w:p w14:paraId="644CD5F3" w14:textId="097F6C09" w:rsidR="001011FB" w:rsidRDefault="001011FB" w:rsidP="001011FB">
      <w:pPr>
        <w:pStyle w:val="ListParagraph"/>
        <w:ind w:left="0"/>
        <w:rPr>
          <w:rFonts w:cs="Times New Roman"/>
          <w:sz w:val="24"/>
          <w:szCs w:val="24"/>
        </w:rPr>
      </w:pPr>
      <w:r>
        <w:rPr>
          <w:rFonts w:cs="Times New Roman"/>
          <w:sz w:val="24"/>
          <w:szCs w:val="24"/>
        </w:rPr>
        <w:t xml:space="preserve">A final and more general point is that the collaborative area-wide reform of schools of the type we have described will be difficult to maintain in the context of national policies that are </w:t>
      </w:r>
      <w:r w:rsidR="002C3779">
        <w:rPr>
          <w:rFonts w:cs="Times New Roman"/>
          <w:sz w:val="24"/>
          <w:szCs w:val="24"/>
        </w:rPr>
        <w:lastRenderedPageBreak/>
        <w:t xml:space="preserve">increasingly </w:t>
      </w:r>
      <w:r>
        <w:rPr>
          <w:rFonts w:cs="Times New Roman"/>
          <w:sz w:val="24"/>
          <w:szCs w:val="24"/>
        </w:rPr>
        <w:t>based on other values. Indeed</w:t>
      </w:r>
      <w:r w:rsidR="00163FA4">
        <w:rPr>
          <w:rFonts w:cs="Times New Roman"/>
          <w:sz w:val="24"/>
          <w:szCs w:val="24"/>
        </w:rPr>
        <w:t>,</w:t>
      </w:r>
      <w:r>
        <w:rPr>
          <w:rFonts w:cs="Times New Roman"/>
          <w:sz w:val="24"/>
          <w:szCs w:val="24"/>
        </w:rPr>
        <w:t xml:space="preserve"> it appears that the conditions that were present during the period of our investigation of London primary schools are now being undermined by the current government’s national policy focus on academies. Recall that academies are schools run by non-governmental entities that are accountable to the central government, not to the local authorities.  </w:t>
      </w:r>
    </w:p>
    <w:p w14:paraId="72B8BB11" w14:textId="77777777" w:rsidR="001011FB" w:rsidRDefault="001011FB" w:rsidP="001011FB">
      <w:pPr>
        <w:pStyle w:val="ListParagraph"/>
        <w:ind w:left="0"/>
        <w:rPr>
          <w:rFonts w:cs="Times New Roman"/>
          <w:sz w:val="24"/>
          <w:szCs w:val="24"/>
        </w:rPr>
      </w:pPr>
    </w:p>
    <w:p w14:paraId="33ED7BAE" w14:textId="683A71D6" w:rsidR="001011FB" w:rsidRDefault="001011FB" w:rsidP="001011FB">
      <w:pPr>
        <w:pStyle w:val="ListParagraph"/>
        <w:ind w:left="0"/>
        <w:rPr>
          <w:rFonts w:cs="Times New Roman"/>
          <w:sz w:val="24"/>
          <w:szCs w:val="24"/>
        </w:rPr>
      </w:pPr>
      <w:r>
        <w:rPr>
          <w:rFonts w:cs="Times New Roman"/>
          <w:sz w:val="24"/>
          <w:szCs w:val="24"/>
        </w:rPr>
        <w:t xml:space="preserve">Officials in Tower Hamlets strongly resisted allowing academies because they were seen as a threat to the collective goal of all schools working together for common ends. Even that borough, however, now has two academies, one at the secondary level and one at the primary level, and will most likely have </w:t>
      </w:r>
      <w:r w:rsidR="002C3779">
        <w:rPr>
          <w:rFonts w:cs="Times New Roman"/>
          <w:sz w:val="24"/>
          <w:szCs w:val="24"/>
        </w:rPr>
        <w:t xml:space="preserve">a few </w:t>
      </w:r>
      <w:r>
        <w:rPr>
          <w:rFonts w:cs="Times New Roman"/>
          <w:sz w:val="24"/>
          <w:szCs w:val="24"/>
        </w:rPr>
        <w:t xml:space="preserve">more in the future.  Hackney, in contrast, was not able to resist the pressure to allow academies at the secondary level.  Early on, The Learning Trust concluded that the borough’s secondary schools were so ineffective that several had to be shut down. Given the </w:t>
      </w:r>
      <w:r w:rsidR="00A17FC7">
        <w:rPr>
          <w:rFonts w:cs="Times New Roman"/>
          <w:sz w:val="24"/>
          <w:szCs w:val="24"/>
        </w:rPr>
        <w:t xml:space="preserve">national </w:t>
      </w:r>
      <w:r w:rsidR="00BF5FF9">
        <w:rPr>
          <w:rFonts w:cs="Times New Roman"/>
          <w:sz w:val="24"/>
          <w:szCs w:val="24"/>
        </w:rPr>
        <w:t>g</w:t>
      </w:r>
      <w:r>
        <w:rPr>
          <w:rFonts w:cs="Times New Roman"/>
          <w:sz w:val="24"/>
          <w:szCs w:val="24"/>
        </w:rPr>
        <w:t xml:space="preserve">overnment’s capital funding policy at that time, the only way to obtain funding for replacement secondary schools was to allow new ones to be established as academies.  In allowing </w:t>
      </w:r>
      <w:r w:rsidR="002C3779">
        <w:rPr>
          <w:rFonts w:cs="Times New Roman"/>
          <w:sz w:val="24"/>
          <w:szCs w:val="24"/>
        </w:rPr>
        <w:t xml:space="preserve">five </w:t>
      </w:r>
      <w:r>
        <w:rPr>
          <w:rFonts w:cs="Times New Roman"/>
          <w:sz w:val="24"/>
          <w:szCs w:val="24"/>
        </w:rPr>
        <w:t xml:space="preserve">new academies, however, the Learning Trust tried to </w:t>
      </w:r>
      <w:r w:rsidR="006778A3">
        <w:rPr>
          <w:rFonts w:cs="Times New Roman"/>
          <w:sz w:val="24"/>
          <w:szCs w:val="24"/>
        </w:rPr>
        <w:t xml:space="preserve">protect </w:t>
      </w:r>
      <w:r>
        <w:rPr>
          <w:rFonts w:cs="Times New Roman"/>
          <w:sz w:val="24"/>
          <w:szCs w:val="24"/>
        </w:rPr>
        <w:t>collective interest</w:t>
      </w:r>
      <w:r w:rsidR="006778A3">
        <w:rPr>
          <w:rFonts w:cs="Times New Roman"/>
          <w:sz w:val="24"/>
          <w:szCs w:val="24"/>
        </w:rPr>
        <w:t>s</w:t>
      </w:r>
      <w:r>
        <w:rPr>
          <w:rFonts w:cs="Times New Roman"/>
          <w:sz w:val="24"/>
          <w:szCs w:val="24"/>
        </w:rPr>
        <w:t xml:space="preserve"> by requiring academy sponsors </w:t>
      </w:r>
      <w:r w:rsidR="002C3779">
        <w:rPr>
          <w:rFonts w:cs="Times New Roman"/>
          <w:sz w:val="24"/>
          <w:szCs w:val="24"/>
        </w:rPr>
        <w:t xml:space="preserve">to </w:t>
      </w:r>
      <w:r>
        <w:rPr>
          <w:rFonts w:cs="Times New Roman"/>
          <w:sz w:val="24"/>
          <w:szCs w:val="24"/>
        </w:rPr>
        <w:t>demonstrate existing ties to Hackney</w:t>
      </w:r>
      <w:r w:rsidR="002C3779">
        <w:rPr>
          <w:rFonts w:cs="Times New Roman"/>
          <w:sz w:val="24"/>
          <w:szCs w:val="24"/>
        </w:rPr>
        <w:t xml:space="preserve">, </w:t>
      </w:r>
      <w:r>
        <w:rPr>
          <w:rFonts w:cs="Times New Roman"/>
          <w:sz w:val="24"/>
          <w:szCs w:val="24"/>
        </w:rPr>
        <w:t>commit to serving the full range of students</w:t>
      </w:r>
      <w:r w:rsidR="002C3779">
        <w:rPr>
          <w:rFonts w:cs="Times New Roman"/>
          <w:sz w:val="24"/>
          <w:szCs w:val="24"/>
        </w:rPr>
        <w:t xml:space="preserve">, and </w:t>
      </w:r>
      <w:r>
        <w:rPr>
          <w:rFonts w:cs="Times New Roman"/>
          <w:sz w:val="24"/>
          <w:szCs w:val="24"/>
        </w:rPr>
        <w:t xml:space="preserve">agree not to select students. Churches and other faith groups were also barred from becoming sponsors. </w:t>
      </w:r>
    </w:p>
    <w:p w14:paraId="38AE8978" w14:textId="77777777" w:rsidR="001011FB" w:rsidRDefault="001011FB" w:rsidP="001011FB">
      <w:pPr>
        <w:pStyle w:val="ListParagraph"/>
        <w:ind w:left="0"/>
        <w:rPr>
          <w:rFonts w:cs="Times New Roman"/>
          <w:sz w:val="24"/>
          <w:szCs w:val="24"/>
        </w:rPr>
      </w:pPr>
    </w:p>
    <w:p w14:paraId="1ADC9078" w14:textId="77777777" w:rsidR="001011FB" w:rsidRDefault="001011FB" w:rsidP="001011FB">
      <w:pPr>
        <w:pStyle w:val="ListParagraph"/>
        <w:ind w:left="0"/>
        <w:rPr>
          <w:rFonts w:cs="Times New Roman"/>
          <w:sz w:val="24"/>
          <w:szCs w:val="24"/>
        </w:rPr>
      </w:pPr>
      <w:r>
        <w:rPr>
          <w:rFonts w:cs="Times New Roman"/>
          <w:sz w:val="24"/>
          <w:szCs w:val="24"/>
        </w:rPr>
        <w:tab/>
        <w:t xml:space="preserve">With two thirds of all secondary schools throughout the country now in the form of academies, and with a growing number at the elementary level, the role of the local authority in supporting schools for its local area is being undermined. Indeed, </w:t>
      </w:r>
      <w:r w:rsidR="002C3779">
        <w:rPr>
          <w:rFonts w:cs="Times New Roman"/>
          <w:sz w:val="24"/>
          <w:szCs w:val="24"/>
        </w:rPr>
        <w:t xml:space="preserve">the policies </w:t>
      </w:r>
      <w:r>
        <w:rPr>
          <w:rFonts w:cs="Times New Roman"/>
          <w:sz w:val="24"/>
          <w:szCs w:val="24"/>
        </w:rPr>
        <w:t xml:space="preserve">of the current government appear specifically designed to weaken the power of the education function of local authorities. Hence, going forward, it will be increasingly difficult for local educational and political leaders to come together in pursuit of a common shared vision for all schools in the borough.    </w:t>
      </w:r>
    </w:p>
    <w:p w14:paraId="1A9F1733" w14:textId="77777777" w:rsidR="001011FB" w:rsidRDefault="001011FB" w:rsidP="001011FB">
      <w:pPr>
        <w:pStyle w:val="ListParagraph"/>
        <w:ind w:left="0"/>
        <w:rPr>
          <w:rFonts w:cs="Times New Roman"/>
          <w:sz w:val="24"/>
          <w:szCs w:val="24"/>
        </w:rPr>
      </w:pPr>
    </w:p>
    <w:p w14:paraId="6449BD91" w14:textId="77777777" w:rsidR="001011FB" w:rsidRDefault="001011FB" w:rsidP="001011FB">
      <w:pPr>
        <w:pStyle w:val="ListParagraph"/>
        <w:ind w:left="0"/>
        <w:rPr>
          <w:rFonts w:cs="Times New Roman"/>
          <w:b/>
          <w:sz w:val="24"/>
          <w:szCs w:val="24"/>
        </w:rPr>
      </w:pPr>
    </w:p>
    <w:p w14:paraId="75D18F07" w14:textId="77777777" w:rsidR="0029756F" w:rsidRPr="0029756F" w:rsidRDefault="0029756F" w:rsidP="0029756F">
      <w:pPr>
        <w:contextualSpacing/>
        <w:jc w:val="center"/>
        <w:rPr>
          <w:rFonts w:cs="Times New Roman"/>
          <w:b/>
          <w:sz w:val="32"/>
          <w:szCs w:val="32"/>
        </w:rPr>
      </w:pPr>
      <w:r w:rsidRPr="0029756F">
        <w:rPr>
          <w:rFonts w:cs="Times New Roman"/>
          <w:b/>
          <w:sz w:val="32"/>
          <w:szCs w:val="32"/>
        </w:rPr>
        <w:t xml:space="preserve">Relevance of the London Effect to School Reform in the U.S. </w:t>
      </w:r>
    </w:p>
    <w:p w14:paraId="0368EE37" w14:textId="77777777" w:rsidR="0029756F" w:rsidRPr="0029756F" w:rsidRDefault="0029756F" w:rsidP="0029756F">
      <w:pPr>
        <w:contextualSpacing/>
        <w:jc w:val="center"/>
        <w:rPr>
          <w:rFonts w:cs="Times New Roman"/>
          <w:b/>
          <w:sz w:val="32"/>
          <w:szCs w:val="32"/>
        </w:rPr>
      </w:pPr>
    </w:p>
    <w:p w14:paraId="6B877265" w14:textId="77777777" w:rsidR="0029756F" w:rsidRPr="0029756F" w:rsidRDefault="0029756F" w:rsidP="0029756F">
      <w:pPr>
        <w:contextualSpacing/>
        <w:rPr>
          <w:rFonts w:cs="Times New Roman"/>
          <w:sz w:val="24"/>
          <w:szCs w:val="24"/>
        </w:rPr>
      </w:pPr>
      <w:r w:rsidRPr="0029756F">
        <w:rPr>
          <w:rFonts w:cs="Times New Roman"/>
          <w:sz w:val="24"/>
          <w:szCs w:val="24"/>
        </w:rPr>
        <w:t xml:space="preserve">Despite significant differences between the education systems of England and the United States, the experiences of Hackney and Tower Hamlets described in this paper offer some potentially powerful lessons for education policy makers in the United State and other developed countries. In drawing such lessons, it is important to keep in mind that the two London boroughs benefitted from a generous national school funding policy that directed additional funds to boroughs serving large proportions of disadvantaged students and that gave local policy makers the means to implement their preferred programs and practices. Access to </w:t>
      </w:r>
      <w:r w:rsidRPr="0029756F">
        <w:rPr>
          <w:rFonts w:cs="Times New Roman"/>
          <w:sz w:val="24"/>
          <w:szCs w:val="24"/>
        </w:rPr>
        <w:lastRenderedPageBreak/>
        <w:t>resources undoubtedly facilitated the improvement of schools in these two boroughs. At the same time, money in and of itself was not sufficient to bring about the changes that led to the “London Effect.”  Resources had to be used wisely toward the boroughs’ goals.</w:t>
      </w:r>
    </w:p>
    <w:p w14:paraId="463C724B" w14:textId="77777777" w:rsidR="0029756F" w:rsidRPr="0029756F" w:rsidRDefault="0029756F" w:rsidP="0029756F">
      <w:pPr>
        <w:contextualSpacing/>
        <w:rPr>
          <w:rFonts w:cs="Times New Roman"/>
          <w:sz w:val="24"/>
          <w:szCs w:val="24"/>
        </w:rPr>
      </w:pPr>
    </w:p>
    <w:p w14:paraId="17F98CC7" w14:textId="77777777" w:rsidR="0029756F" w:rsidRPr="0029756F" w:rsidRDefault="0029756F" w:rsidP="0029756F">
      <w:pPr>
        <w:contextualSpacing/>
        <w:rPr>
          <w:rFonts w:cs="Times New Roman"/>
          <w:b/>
          <w:sz w:val="28"/>
          <w:szCs w:val="28"/>
        </w:rPr>
      </w:pPr>
      <w:r w:rsidRPr="0029756F">
        <w:rPr>
          <w:rFonts w:cs="Times New Roman"/>
          <w:b/>
          <w:sz w:val="28"/>
          <w:szCs w:val="28"/>
        </w:rPr>
        <w:t xml:space="preserve">Key features of education policy in the London boroughs </w:t>
      </w:r>
    </w:p>
    <w:p w14:paraId="5B9A667D" w14:textId="77777777" w:rsidR="0029756F" w:rsidRPr="0029756F" w:rsidRDefault="0029756F" w:rsidP="0029756F">
      <w:pPr>
        <w:contextualSpacing/>
        <w:rPr>
          <w:rFonts w:cs="Times New Roman"/>
          <w:sz w:val="24"/>
          <w:szCs w:val="24"/>
        </w:rPr>
      </w:pPr>
    </w:p>
    <w:p w14:paraId="4D5AAC17" w14:textId="77777777" w:rsidR="0029756F" w:rsidRPr="0029756F" w:rsidRDefault="0029756F" w:rsidP="0029756F">
      <w:pPr>
        <w:contextualSpacing/>
        <w:rPr>
          <w:rFonts w:cs="Times New Roman"/>
          <w:sz w:val="24"/>
          <w:szCs w:val="24"/>
        </w:rPr>
      </w:pPr>
      <w:r w:rsidRPr="0029756F">
        <w:rPr>
          <w:rFonts w:cs="Times New Roman"/>
          <w:sz w:val="24"/>
          <w:szCs w:val="24"/>
        </w:rPr>
        <w:t xml:space="preserve">We first highlight three features of the Hackney and Tower Hamlets experiences that were key to their success and are relevant for U.S. policy debates. The first is their reliance on area-wide school reform strategies. The second, consistent with the first, is the role of external accountability applied not only to schools but also to the boroughs.  The third is the backing up of high academic expectations with policies and practices at both the borough and school levels that support all children, especially those from disadvantaged backgrounds, in meeting the educational challenges they face.  In the final section, we draw lessons for U.S. policy makers in the context of current policy discussions and debates.  </w:t>
      </w:r>
    </w:p>
    <w:p w14:paraId="2A88D0AA" w14:textId="77777777" w:rsidR="0029756F" w:rsidRPr="0029756F" w:rsidRDefault="0029756F" w:rsidP="0029756F">
      <w:pPr>
        <w:rPr>
          <w:rFonts w:cs="Times New Roman"/>
          <w:b/>
          <w:sz w:val="28"/>
          <w:szCs w:val="28"/>
        </w:rPr>
      </w:pPr>
    </w:p>
    <w:p w14:paraId="5DB9C938" w14:textId="77777777" w:rsidR="0029756F" w:rsidRPr="0029756F" w:rsidRDefault="0029756F" w:rsidP="0029756F">
      <w:pPr>
        <w:rPr>
          <w:rFonts w:cs="Times New Roman"/>
          <w:b/>
          <w:sz w:val="24"/>
          <w:szCs w:val="24"/>
        </w:rPr>
      </w:pPr>
      <w:r w:rsidRPr="0029756F">
        <w:rPr>
          <w:rFonts w:cs="Times New Roman"/>
          <w:b/>
          <w:sz w:val="24"/>
          <w:szCs w:val="24"/>
        </w:rPr>
        <w:t xml:space="preserve">Area-wide school reform strategies. </w:t>
      </w:r>
    </w:p>
    <w:p w14:paraId="3B6963C7" w14:textId="786044D9" w:rsidR="0029756F" w:rsidRPr="0029756F" w:rsidRDefault="0029756F" w:rsidP="0029756F">
      <w:pPr>
        <w:contextualSpacing/>
        <w:rPr>
          <w:rFonts w:cs="Times New Roman"/>
          <w:sz w:val="24"/>
          <w:szCs w:val="24"/>
        </w:rPr>
      </w:pPr>
      <w:r w:rsidRPr="0029756F">
        <w:rPr>
          <w:rFonts w:cs="Times New Roman"/>
          <w:sz w:val="24"/>
          <w:szCs w:val="24"/>
        </w:rPr>
        <w:t xml:space="preserve">The most striking feature of the way in which both Hackney and Tower Hamlets improved student outcomes is that the strategies they used were area-wide. As we have shown, leaders in both boroughs focused attention not simply on the performance of a few specific schools but rather on the ability of the borough as a whole to serve all children in the area. To be sure, the Learning Trust in Hackney determined – mainly for reasons having to do with </w:t>
      </w:r>
      <w:r w:rsidR="00DF0B12">
        <w:rPr>
          <w:rFonts w:cs="Times New Roman"/>
          <w:sz w:val="24"/>
          <w:szCs w:val="24"/>
        </w:rPr>
        <w:t xml:space="preserve">the </w:t>
      </w:r>
      <w:r w:rsidR="00F73815">
        <w:rPr>
          <w:rFonts w:cs="Times New Roman"/>
          <w:sz w:val="24"/>
          <w:szCs w:val="24"/>
        </w:rPr>
        <w:t xml:space="preserve">national government’s </w:t>
      </w:r>
      <w:r w:rsidRPr="0029756F">
        <w:rPr>
          <w:rFonts w:cs="Times New Roman"/>
          <w:sz w:val="24"/>
          <w:szCs w:val="24"/>
        </w:rPr>
        <w:t>capital funding polic</w:t>
      </w:r>
      <w:r w:rsidR="00F73815">
        <w:rPr>
          <w:rFonts w:cs="Times New Roman"/>
          <w:sz w:val="24"/>
          <w:szCs w:val="24"/>
        </w:rPr>
        <w:t>y</w:t>
      </w:r>
      <w:r w:rsidRPr="0029756F">
        <w:rPr>
          <w:rFonts w:cs="Times New Roman"/>
          <w:sz w:val="24"/>
          <w:szCs w:val="24"/>
        </w:rPr>
        <w:t xml:space="preserve"> – that the only way to promote a borough-wide strategy at the high school level was to permit some new academies, which are equivalent to charter schools in the U.S.  But the overall objective of the leaders in both boroughs was to encourage schools to work together toward the common goal of meeting the needs of all the borough’s children. </w:t>
      </w:r>
    </w:p>
    <w:p w14:paraId="55259B7D" w14:textId="77777777" w:rsidR="0029756F" w:rsidRPr="0029756F" w:rsidRDefault="0029756F" w:rsidP="0029756F">
      <w:pPr>
        <w:contextualSpacing/>
        <w:rPr>
          <w:rFonts w:cs="Times New Roman"/>
          <w:sz w:val="24"/>
          <w:szCs w:val="24"/>
        </w:rPr>
      </w:pPr>
    </w:p>
    <w:p w14:paraId="1ECAEE38" w14:textId="465C2895" w:rsidR="0029756F" w:rsidRPr="0029756F" w:rsidRDefault="0029756F" w:rsidP="0029756F">
      <w:pPr>
        <w:contextualSpacing/>
        <w:rPr>
          <w:rFonts w:cs="Times New Roman"/>
          <w:sz w:val="24"/>
          <w:szCs w:val="24"/>
        </w:rPr>
      </w:pPr>
      <w:r w:rsidRPr="0029756F">
        <w:rPr>
          <w:rFonts w:cs="Times New Roman"/>
          <w:sz w:val="24"/>
          <w:szCs w:val="24"/>
        </w:rPr>
        <w:t>This area-wide strategy worked well because strong schools were able to help weaker schools, headteachers could collaborate</w:t>
      </w:r>
      <w:r w:rsidR="009C7B1C">
        <w:rPr>
          <w:rFonts w:cs="Times New Roman"/>
          <w:sz w:val="24"/>
          <w:szCs w:val="24"/>
        </w:rPr>
        <w:t xml:space="preserve"> across schools</w:t>
      </w:r>
      <w:r w:rsidRPr="0029756F">
        <w:rPr>
          <w:rFonts w:cs="Times New Roman"/>
          <w:sz w:val="24"/>
          <w:szCs w:val="24"/>
        </w:rPr>
        <w:t xml:space="preserve">, and the system as a whole benefited from a healthy competition directed toward making all schools better. Moreover, borough leaders were able to deploy resources flexibly and efficiently to minimize any systemic inequities across schools, to provide services such as professional development that were best provided at the borough level, and to maximize chances that all children in the area had access to quality schools. A key element in the success of these area-wide strategies was strong leadership at the borough level that promoted a shared vision among the borough’s educators and, importantly, within the local community as well.  </w:t>
      </w:r>
    </w:p>
    <w:p w14:paraId="6A218BB8" w14:textId="77777777" w:rsidR="0029756F" w:rsidRPr="0029756F" w:rsidRDefault="0029756F" w:rsidP="0029756F">
      <w:pPr>
        <w:contextualSpacing/>
        <w:rPr>
          <w:rFonts w:cs="Times New Roman"/>
          <w:sz w:val="24"/>
          <w:szCs w:val="24"/>
        </w:rPr>
      </w:pPr>
      <w:r w:rsidRPr="0029756F">
        <w:rPr>
          <w:rFonts w:cs="Times New Roman"/>
          <w:sz w:val="24"/>
          <w:szCs w:val="24"/>
        </w:rPr>
        <w:lastRenderedPageBreak/>
        <w:tab/>
      </w:r>
    </w:p>
    <w:p w14:paraId="23FA0696" w14:textId="77777777" w:rsidR="0029756F" w:rsidRPr="0029756F" w:rsidRDefault="0029756F" w:rsidP="0029756F">
      <w:pPr>
        <w:rPr>
          <w:rFonts w:cs="Times New Roman"/>
          <w:b/>
          <w:sz w:val="24"/>
          <w:szCs w:val="24"/>
        </w:rPr>
      </w:pPr>
      <w:r w:rsidRPr="0029756F">
        <w:rPr>
          <w:rFonts w:cs="Times New Roman"/>
          <w:b/>
          <w:sz w:val="24"/>
          <w:szCs w:val="24"/>
        </w:rPr>
        <w:t xml:space="preserve">An external accountability system for boroughs as well as for schools.  </w:t>
      </w:r>
    </w:p>
    <w:p w14:paraId="49DB5BD1" w14:textId="77777777" w:rsidR="0029756F" w:rsidRPr="0029756F" w:rsidRDefault="0029756F" w:rsidP="0029756F">
      <w:pPr>
        <w:rPr>
          <w:rFonts w:cs="Times New Roman"/>
          <w:sz w:val="24"/>
          <w:szCs w:val="24"/>
        </w:rPr>
      </w:pPr>
      <w:r w:rsidRPr="0029756F">
        <w:rPr>
          <w:rFonts w:cs="Times New Roman"/>
          <w:sz w:val="24"/>
          <w:szCs w:val="24"/>
        </w:rPr>
        <w:t xml:space="preserve">At both the borough and the school levels Tower Hamlets and Hackney were subject to external accountability that directed attention not only to student outcomes but also to leadership and managerial capacity and to internal policies and practices.  The attention to processes as well as outcomes in individual schools provided useful and actionable information not only to the schools themselves but also to borough officials. These officials could use the information in the Ofsted school reports, along with their own detailed data on student performance, to identify problems at the school level that needed attention. Such information enabled them to set up appropriate support or intervention mechanisms.   </w:t>
      </w:r>
    </w:p>
    <w:p w14:paraId="7F5E4B05" w14:textId="77777777" w:rsidR="0029756F" w:rsidRPr="0029756F" w:rsidRDefault="0029756F" w:rsidP="0029756F">
      <w:pPr>
        <w:rPr>
          <w:rFonts w:cs="Times New Roman"/>
          <w:sz w:val="24"/>
          <w:szCs w:val="24"/>
        </w:rPr>
      </w:pPr>
      <w:r w:rsidRPr="0029756F">
        <w:rPr>
          <w:rFonts w:cs="Times New Roman"/>
          <w:sz w:val="24"/>
          <w:szCs w:val="24"/>
        </w:rPr>
        <w:t xml:space="preserve">Ofsted’s borough-wide performance reviews (a practice that ended in 2008) also played a major role in both boroughs. That was most evident in Tower Hamlets, where the devastating 1998 Ofsted report spurred both the Council and the education leaders to work hard together to improve their schools out of fear of being taken over by the national government. In Hackney, the external pressure initially had little initial positive impact because of the borough’s dysfunctional council. That failure subsequently led to stronger measures in the form of the establishment of The Learning Trust and the development of internal capacity that enabled the area to improve its schools.  </w:t>
      </w:r>
    </w:p>
    <w:p w14:paraId="5F7106CF" w14:textId="77777777" w:rsidR="0029756F" w:rsidRPr="0029756F" w:rsidRDefault="0029756F" w:rsidP="0029756F">
      <w:pPr>
        <w:rPr>
          <w:rFonts w:cs="Times New Roman"/>
          <w:sz w:val="24"/>
          <w:szCs w:val="24"/>
        </w:rPr>
      </w:pPr>
      <w:r w:rsidRPr="0029756F">
        <w:rPr>
          <w:rFonts w:cs="Times New Roman"/>
          <w:b/>
          <w:sz w:val="24"/>
          <w:szCs w:val="24"/>
        </w:rPr>
        <w:t xml:space="preserve">Attention to support for disadvantaged children to back up high expectations.  </w:t>
      </w:r>
      <w:r w:rsidRPr="0029756F">
        <w:rPr>
          <w:rFonts w:cs="Times New Roman"/>
          <w:sz w:val="24"/>
          <w:szCs w:val="24"/>
        </w:rPr>
        <w:t xml:space="preserve"> </w:t>
      </w:r>
    </w:p>
    <w:p w14:paraId="0E1F271E" w14:textId="77777777" w:rsidR="0029756F" w:rsidRPr="0029756F" w:rsidRDefault="0029756F" w:rsidP="0029756F">
      <w:pPr>
        <w:rPr>
          <w:rFonts w:cs="Times New Roman"/>
          <w:sz w:val="24"/>
          <w:szCs w:val="24"/>
        </w:rPr>
      </w:pPr>
      <w:r w:rsidRPr="0029756F">
        <w:rPr>
          <w:rFonts w:cs="Times New Roman"/>
          <w:sz w:val="24"/>
          <w:szCs w:val="24"/>
        </w:rPr>
        <w:t xml:space="preserve">As described above, the shared vision of Hackney and Tower Hamlets was built on the convictions that all children, including those from disadvantaged backgrounds, can learn and that, by implication, poverty is not an excuse for low achievement. Christine Gilbert and other leaders in Tower Hamlets and The Learning Trust in Hackney adopted this belief as their mantra and then directed significant resources to helping poor children deal with the special challenges they bring to school. The use of detailed and sophisticated data allowed schools and teachers to diagnose the learning needs of each child and to address them promptly.  Schools supported school breakfast and health programs, set up booster groups and worked closely with families.  They facilitated after-school and other enrichment programs designed to provide disadvantaged pupils with the kind of social capital that their more privileged peers take for granted. </w:t>
      </w:r>
    </w:p>
    <w:p w14:paraId="5C2C5D4C" w14:textId="77777777" w:rsidR="0029756F" w:rsidRPr="0029756F" w:rsidRDefault="0029756F" w:rsidP="0029756F">
      <w:pPr>
        <w:rPr>
          <w:rFonts w:cs="Times New Roman"/>
          <w:b/>
          <w:sz w:val="28"/>
          <w:szCs w:val="28"/>
        </w:rPr>
      </w:pPr>
      <w:r w:rsidRPr="0029756F">
        <w:rPr>
          <w:rFonts w:cs="Times New Roman"/>
          <w:b/>
          <w:sz w:val="28"/>
          <w:szCs w:val="28"/>
        </w:rPr>
        <w:t>Lessons</w:t>
      </w:r>
      <w:r w:rsidRPr="0029756F">
        <w:rPr>
          <w:rFonts w:cs="Times New Roman"/>
          <w:sz w:val="28"/>
          <w:szCs w:val="28"/>
        </w:rPr>
        <w:t xml:space="preserve"> </w:t>
      </w:r>
      <w:r w:rsidRPr="0029756F">
        <w:rPr>
          <w:rFonts w:cs="Times New Roman"/>
          <w:b/>
          <w:sz w:val="28"/>
          <w:szCs w:val="28"/>
        </w:rPr>
        <w:t xml:space="preserve">for U.S. Policy Makers </w:t>
      </w:r>
    </w:p>
    <w:p w14:paraId="2D041DAD" w14:textId="77777777" w:rsidR="0029756F" w:rsidRPr="0029756F" w:rsidRDefault="0029756F" w:rsidP="0029756F">
      <w:pPr>
        <w:contextualSpacing/>
        <w:rPr>
          <w:rFonts w:cs="Times New Roman"/>
          <w:sz w:val="24"/>
          <w:szCs w:val="24"/>
        </w:rPr>
      </w:pPr>
      <w:r w:rsidRPr="0029756F">
        <w:rPr>
          <w:rFonts w:cs="Times New Roman"/>
          <w:sz w:val="24"/>
          <w:szCs w:val="24"/>
        </w:rPr>
        <w:t xml:space="preserve">The 2015 revision of the federal Elementary and Secondary Education Act marks a significant change in U.S. education policy.  After 13 years of significant federal involvement in the performance of individual schools, the new Every Student Succeeds ACT (ESSA) returns </w:t>
      </w:r>
      <w:r w:rsidRPr="0029756F">
        <w:rPr>
          <w:rFonts w:cs="Times New Roman"/>
          <w:sz w:val="24"/>
          <w:szCs w:val="24"/>
        </w:rPr>
        <w:lastRenderedPageBreak/>
        <w:t xml:space="preserve">significant authority over school reform to the states.  Thus, the states are now in a position to develop new or modified ways to improve their schools and to raise student outcomes.  In this new environment, states would do well to pay attention to three lessons that emerge from the London experience. </w:t>
      </w:r>
    </w:p>
    <w:p w14:paraId="11F3535C" w14:textId="77777777" w:rsidR="0029756F" w:rsidRPr="0029756F" w:rsidRDefault="0029756F" w:rsidP="0029756F">
      <w:pPr>
        <w:contextualSpacing/>
        <w:rPr>
          <w:rFonts w:cs="Times New Roman"/>
          <w:b/>
          <w:sz w:val="24"/>
          <w:szCs w:val="24"/>
        </w:rPr>
      </w:pPr>
    </w:p>
    <w:p w14:paraId="3ED1BE46" w14:textId="77777777" w:rsidR="0029756F" w:rsidRPr="0029756F" w:rsidRDefault="0029756F" w:rsidP="0029756F">
      <w:pPr>
        <w:contextualSpacing/>
        <w:rPr>
          <w:rFonts w:cs="Times New Roman"/>
          <w:b/>
          <w:sz w:val="24"/>
          <w:szCs w:val="24"/>
        </w:rPr>
      </w:pPr>
      <w:r w:rsidRPr="0029756F">
        <w:rPr>
          <w:rFonts w:cs="Times New Roman"/>
          <w:b/>
          <w:sz w:val="24"/>
          <w:szCs w:val="24"/>
        </w:rPr>
        <w:t xml:space="preserve">Lesson 1.  The power of district-wide reforms. </w:t>
      </w:r>
    </w:p>
    <w:p w14:paraId="0F7D52B5" w14:textId="77777777" w:rsidR="0029756F" w:rsidRPr="0029756F" w:rsidRDefault="0029756F" w:rsidP="0029756F">
      <w:pPr>
        <w:contextualSpacing/>
        <w:rPr>
          <w:rFonts w:cs="Times New Roman"/>
          <w:b/>
          <w:sz w:val="24"/>
          <w:szCs w:val="24"/>
        </w:rPr>
      </w:pPr>
    </w:p>
    <w:p w14:paraId="55DAA3F9" w14:textId="5F3FBFEC" w:rsidR="0029756F" w:rsidRPr="0029756F" w:rsidRDefault="0029756F" w:rsidP="0029756F">
      <w:pPr>
        <w:contextualSpacing/>
        <w:rPr>
          <w:rFonts w:cs="Times New Roman"/>
          <w:sz w:val="24"/>
          <w:szCs w:val="24"/>
        </w:rPr>
      </w:pPr>
      <w:r w:rsidRPr="0029756F">
        <w:rPr>
          <w:rFonts w:cs="Times New Roman"/>
          <w:sz w:val="24"/>
          <w:szCs w:val="24"/>
        </w:rPr>
        <w:t>The area-wide approach contrasts sharply with much of the recent school turnaround activity in the United States. For example, in recent years the federal government put significant pressure on states to identify and turn around the lowest-performing 5 percent of their schools.  Any state receiving school turnaround funds from Washington was required to use one of four specific strategies to improve the identified schools.</w:t>
      </w:r>
      <w:r w:rsidRPr="0029756F">
        <w:rPr>
          <w:rFonts w:eastAsiaTheme="minorHAnsi"/>
          <w:vertAlign w:val="superscript"/>
        </w:rPr>
        <w:footnoteReference w:id="19"/>
      </w:r>
      <w:r w:rsidRPr="0029756F">
        <w:rPr>
          <w:rFonts w:cs="Times New Roman"/>
          <w:sz w:val="24"/>
          <w:szCs w:val="24"/>
        </w:rPr>
        <w:t xml:space="preserve"> Such an approach is clearly not area-wide in the sense we found in London. Instead, it </w:t>
      </w:r>
      <w:r w:rsidR="00587A29" w:rsidRPr="0029756F">
        <w:rPr>
          <w:rFonts w:cs="Times New Roman"/>
          <w:sz w:val="24"/>
          <w:szCs w:val="24"/>
        </w:rPr>
        <w:t>applie</w:t>
      </w:r>
      <w:r w:rsidR="00587A29">
        <w:rPr>
          <w:rFonts w:cs="Times New Roman"/>
          <w:sz w:val="24"/>
          <w:szCs w:val="24"/>
        </w:rPr>
        <w:t>d</w:t>
      </w:r>
      <w:r w:rsidR="00587A29" w:rsidRPr="0029756F">
        <w:rPr>
          <w:rFonts w:cs="Times New Roman"/>
          <w:sz w:val="24"/>
          <w:szCs w:val="24"/>
        </w:rPr>
        <w:t xml:space="preserve"> </w:t>
      </w:r>
      <w:r w:rsidRPr="0029756F">
        <w:rPr>
          <w:rFonts w:cs="Times New Roman"/>
          <w:sz w:val="24"/>
          <w:szCs w:val="24"/>
        </w:rPr>
        <w:t xml:space="preserve">only to a few schools in any specific district; its spillovers to other district schools – whether positive or negative – </w:t>
      </w:r>
      <w:r w:rsidR="00587A29">
        <w:rPr>
          <w:rFonts w:cs="Times New Roman"/>
          <w:sz w:val="24"/>
          <w:szCs w:val="24"/>
        </w:rPr>
        <w:t>we</w:t>
      </w:r>
      <w:r w:rsidR="00587A29" w:rsidRPr="0029756F">
        <w:rPr>
          <w:rFonts w:cs="Times New Roman"/>
          <w:sz w:val="24"/>
          <w:szCs w:val="24"/>
        </w:rPr>
        <w:t xml:space="preserve">re </w:t>
      </w:r>
      <w:r w:rsidRPr="0029756F">
        <w:rPr>
          <w:rFonts w:cs="Times New Roman"/>
          <w:sz w:val="24"/>
          <w:szCs w:val="24"/>
        </w:rPr>
        <w:t>ignored</w:t>
      </w:r>
      <w:r w:rsidR="00587A29">
        <w:rPr>
          <w:rFonts w:cs="Times New Roman"/>
          <w:sz w:val="24"/>
          <w:szCs w:val="24"/>
        </w:rPr>
        <w:t xml:space="preserve"> in federal policy</w:t>
      </w:r>
      <w:r w:rsidRPr="0029756F">
        <w:rPr>
          <w:rFonts w:cs="Times New Roman"/>
          <w:sz w:val="24"/>
          <w:szCs w:val="24"/>
        </w:rPr>
        <w:t xml:space="preserve">; and it </w:t>
      </w:r>
      <w:r w:rsidR="00587A29">
        <w:rPr>
          <w:rFonts w:cs="Times New Roman"/>
          <w:sz w:val="24"/>
          <w:szCs w:val="24"/>
        </w:rPr>
        <w:t>wa</w:t>
      </w:r>
      <w:r w:rsidR="00587A29" w:rsidRPr="0029756F">
        <w:rPr>
          <w:rFonts w:cs="Times New Roman"/>
          <w:sz w:val="24"/>
          <w:szCs w:val="24"/>
        </w:rPr>
        <w:t xml:space="preserve">s </w:t>
      </w:r>
      <w:r w:rsidRPr="0029756F">
        <w:rPr>
          <w:rFonts w:cs="Times New Roman"/>
          <w:sz w:val="24"/>
          <w:szCs w:val="24"/>
        </w:rPr>
        <w:t xml:space="preserve">not </w:t>
      </w:r>
      <w:r w:rsidR="00587A29">
        <w:rPr>
          <w:rFonts w:cs="Times New Roman"/>
          <w:sz w:val="24"/>
          <w:szCs w:val="24"/>
        </w:rPr>
        <w:t xml:space="preserve">designed to be </w:t>
      </w:r>
      <w:r w:rsidRPr="0029756F">
        <w:rPr>
          <w:rFonts w:cs="Times New Roman"/>
          <w:sz w:val="24"/>
          <w:szCs w:val="24"/>
        </w:rPr>
        <w:t xml:space="preserve">grounded in local community support.  Moreover, simply turning a school around need not assure the continued success.   </w:t>
      </w:r>
    </w:p>
    <w:p w14:paraId="3FD16677" w14:textId="77777777" w:rsidR="0029756F" w:rsidRPr="0029756F" w:rsidRDefault="0029756F" w:rsidP="0029756F">
      <w:pPr>
        <w:contextualSpacing/>
        <w:rPr>
          <w:rFonts w:cs="Times New Roman"/>
          <w:sz w:val="24"/>
          <w:szCs w:val="24"/>
        </w:rPr>
      </w:pPr>
    </w:p>
    <w:p w14:paraId="5F54C95B" w14:textId="77777777" w:rsidR="0029756F" w:rsidRPr="0029756F" w:rsidRDefault="0029756F" w:rsidP="0029756F">
      <w:pPr>
        <w:contextualSpacing/>
        <w:rPr>
          <w:rFonts w:cs="Times New Roman"/>
          <w:sz w:val="24"/>
          <w:szCs w:val="24"/>
        </w:rPr>
      </w:pPr>
      <w:r w:rsidRPr="0029756F">
        <w:rPr>
          <w:rFonts w:cs="Times New Roman"/>
          <w:sz w:val="24"/>
          <w:szCs w:val="24"/>
        </w:rPr>
        <w:t xml:space="preserve">The concept of area-wide reform strategies is now gaining traction in the U.S.  Some states and districts have begun implementing turnaround strategies that move in the directions that we observed in London. Such strategies include achievement or recovery districts, innovation zones, and receiverships. These strategies differ both in the extent to which they are area-wide and the degree to which they promote and sustain local community support. While each of these may have some potential in some contexts, none has the benefit of a coherent vision that is shared by all relevant stakeholders within the local area and that is powerful enough both to drive the initial turnaround and to generate the community support needed to sustain it over time.     </w:t>
      </w:r>
    </w:p>
    <w:p w14:paraId="52BD9800" w14:textId="77777777" w:rsidR="0029756F" w:rsidRPr="0029756F" w:rsidRDefault="0029756F" w:rsidP="0029756F">
      <w:pPr>
        <w:contextualSpacing/>
        <w:rPr>
          <w:rFonts w:cs="Times New Roman"/>
          <w:sz w:val="24"/>
          <w:szCs w:val="24"/>
        </w:rPr>
      </w:pPr>
    </w:p>
    <w:p w14:paraId="4E7D2013" w14:textId="77777777" w:rsidR="0029756F" w:rsidRPr="0029756F" w:rsidRDefault="0029756F" w:rsidP="0029756F">
      <w:pPr>
        <w:contextualSpacing/>
        <w:rPr>
          <w:rFonts w:cs="Times New Roman"/>
          <w:sz w:val="24"/>
          <w:szCs w:val="24"/>
        </w:rPr>
      </w:pPr>
      <w:r w:rsidRPr="0029756F">
        <w:rPr>
          <w:rFonts w:cs="Times New Roman"/>
          <w:sz w:val="24"/>
          <w:szCs w:val="24"/>
        </w:rPr>
        <w:t xml:space="preserve">In the side box (See box at end) we describe a number of the strategies being used to improve low-performing schools, listed in order of the extent to which they employ an area-wide orientation. At the top is the federally promoted school-specific approach; at the bottom is a </w:t>
      </w:r>
      <w:r w:rsidRPr="0029756F">
        <w:rPr>
          <w:rFonts w:cs="Times New Roman"/>
          <w:sz w:val="24"/>
          <w:szCs w:val="24"/>
        </w:rPr>
        <w:lastRenderedPageBreak/>
        <w:t xml:space="preserve">district-based approach. The bottom two strategies are closest to the area-wide approaches used successfully in the London boroughs. </w:t>
      </w:r>
    </w:p>
    <w:p w14:paraId="31445E35" w14:textId="77777777" w:rsidR="0029756F" w:rsidRPr="0029756F" w:rsidRDefault="0029756F" w:rsidP="0029756F">
      <w:pPr>
        <w:contextualSpacing/>
        <w:rPr>
          <w:rFonts w:cs="Times New Roman"/>
          <w:sz w:val="24"/>
          <w:szCs w:val="24"/>
        </w:rPr>
      </w:pPr>
    </w:p>
    <w:p w14:paraId="26DEE0E9" w14:textId="77777777" w:rsidR="0029756F" w:rsidRPr="0029756F" w:rsidRDefault="0029756F" w:rsidP="0029756F">
      <w:pPr>
        <w:contextualSpacing/>
        <w:rPr>
          <w:rFonts w:cs="Times New Roman"/>
          <w:sz w:val="24"/>
          <w:szCs w:val="24"/>
        </w:rPr>
      </w:pPr>
      <w:r w:rsidRPr="0029756F">
        <w:rPr>
          <w:rFonts w:cs="Times New Roman"/>
          <w:sz w:val="24"/>
          <w:szCs w:val="24"/>
        </w:rPr>
        <w:t xml:space="preserve">The lesson that we take from the London experience is that, as they move forward in the new educational climate, states would do well to think in terms of area-wide strategies. They would be well advised to recognize that individual schools are embedded in districts and that well- funded districts with strong leaders have an important role to play in assuring that all of their children have access to high quality schools. </w:t>
      </w:r>
    </w:p>
    <w:p w14:paraId="4F671353" w14:textId="77777777" w:rsidR="0029756F" w:rsidRPr="0029756F" w:rsidRDefault="0029756F" w:rsidP="0029756F">
      <w:pPr>
        <w:contextualSpacing/>
        <w:rPr>
          <w:rFonts w:cs="Times New Roman"/>
          <w:sz w:val="24"/>
          <w:szCs w:val="24"/>
        </w:rPr>
      </w:pPr>
    </w:p>
    <w:p w14:paraId="405D3856" w14:textId="77777777" w:rsidR="0029756F" w:rsidRPr="0029756F" w:rsidRDefault="0029756F" w:rsidP="0029756F">
      <w:pPr>
        <w:contextualSpacing/>
        <w:rPr>
          <w:rFonts w:cs="Times New Roman"/>
          <w:b/>
          <w:sz w:val="24"/>
          <w:szCs w:val="24"/>
        </w:rPr>
      </w:pPr>
      <w:r w:rsidRPr="0029756F">
        <w:rPr>
          <w:rFonts w:cs="Times New Roman"/>
          <w:b/>
          <w:sz w:val="24"/>
          <w:szCs w:val="24"/>
        </w:rPr>
        <w:t xml:space="preserve">Lesson 2.  The benefits of broader accountability systems </w:t>
      </w:r>
    </w:p>
    <w:p w14:paraId="53470545" w14:textId="77777777" w:rsidR="0029756F" w:rsidRPr="0029756F" w:rsidRDefault="0029756F" w:rsidP="0029756F">
      <w:pPr>
        <w:contextualSpacing/>
        <w:rPr>
          <w:rFonts w:cs="Times New Roman"/>
          <w:b/>
          <w:sz w:val="24"/>
          <w:szCs w:val="24"/>
        </w:rPr>
      </w:pPr>
    </w:p>
    <w:p w14:paraId="66A21396" w14:textId="0A562BAD" w:rsidR="0029756F" w:rsidRPr="0029756F" w:rsidRDefault="0029756F" w:rsidP="0029756F">
      <w:pPr>
        <w:rPr>
          <w:rFonts w:cs="Times New Roman"/>
          <w:sz w:val="24"/>
          <w:szCs w:val="24"/>
        </w:rPr>
      </w:pPr>
      <w:r w:rsidRPr="0029756F">
        <w:rPr>
          <w:rFonts w:cs="Times New Roman"/>
          <w:sz w:val="24"/>
          <w:szCs w:val="24"/>
        </w:rPr>
        <w:t xml:space="preserve">The </w:t>
      </w:r>
      <w:r w:rsidR="00163FA4" w:rsidRPr="0029756F">
        <w:rPr>
          <w:rFonts w:cs="Times New Roman"/>
          <w:sz w:val="24"/>
          <w:szCs w:val="24"/>
        </w:rPr>
        <w:t>test-based</w:t>
      </w:r>
      <w:r w:rsidRPr="0029756F">
        <w:rPr>
          <w:rFonts w:cs="Times New Roman"/>
          <w:sz w:val="24"/>
          <w:szCs w:val="24"/>
        </w:rPr>
        <w:t xml:space="preserve"> system for holding schools accountable in the United States differs significantly from England’s use of an inspection-based accountability system. Under the federal No Child Left Behind Act in place from 2002 to 2015, the federal government held individual schools accountable primarily for student outcomes as measured by test scores in math and reading. The new law gives states far more authority to develop their own approaches to accountability, albeit still with significant attention to student test scores. </w:t>
      </w:r>
    </w:p>
    <w:p w14:paraId="72D6546E" w14:textId="77777777" w:rsidR="0029756F" w:rsidRPr="0029756F" w:rsidRDefault="0029756F" w:rsidP="0029756F">
      <w:pPr>
        <w:rPr>
          <w:rFonts w:cs="Times New Roman"/>
          <w:sz w:val="24"/>
          <w:szCs w:val="24"/>
        </w:rPr>
      </w:pPr>
      <w:r w:rsidRPr="0029756F">
        <w:rPr>
          <w:rFonts w:cs="Times New Roman"/>
          <w:sz w:val="24"/>
          <w:szCs w:val="24"/>
        </w:rPr>
        <w:t xml:space="preserve">London’s experience suggests that it would behoove states to use their additional flexibility under ESSA to explore new forms of accountability. For schools, that would mean going beyond the use of student test scores (still required under federal law) or other easily measured outcomes to incorporate input from trained professional inspectors. Such inspectors would visit schools on a periodic basis and then publicly report on the quality of their internal policies and practices that contribute not only to student achievement but also to the quality of the child’s experience in school.  A broader accountability system of this type would explicitly recognize that high quality schools are essential for the success of all students, especially those from disadvantaged backgrounds.   </w:t>
      </w:r>
    </w:p>
    <w:p w14:paraId="2371F23B" w14:textId="77777777" w:rsidR="0029756F" w:rsidRPr="0029756F" w:rsidRDefault="0029756F" w:rsidP="0029756F">
      <w:pPr>
        <w:rPr>
          <w:rFonts w:cs="Times New Roman"/>
          <w:sz w:val="24"/>
          <w:szCs w:val="24"/>
        </w:rPr>
      </w:pPr>
      <w:r w:rsidRPr="0029756F">
        <w:rPr>
          <w:rFonts w:cs="Times New Roman"/>
          <w:sz w:val="24"/>
          <w:szCs w:val="24"/>
        </w:rPr>
        <w:t xml:space="preserve">In addition, the London experience suggests that states should consider expanding their   accountability programs to cover the performance of whole school districts.  Several states have already moved in this direction, with Massachusetts currently having the most developed system.   For the past five years, Massachusetts has rated not only schools but districts. The state reviews at least 40 districts per year (75 percent of which have students who are low-performing relative to comparable students and some of which are high-performing).  Based on reports from teams of professionally trained professionals, the state classifies districts into categories.  For districts with low ratings, the state then provides support or intervenes, as appropriate, with the most serious intervention being state takeover (Klein, 2016).   In addition, the state also writes reports on best district practices drawn from its reviews of individual </w:t>
      </w:r>
      <w:r w:rsidRPr="0029756F">
        <w:rPr>
          <w:rFonts w:cs="Times New Roman"/>
          <w:sz w:val="24"/>
          <w:szCs w:val="24"/>
        </w:rPr>
        <w:lastRenderedPageBreak/>
        <w:t xml:space="preserve">districts.  Thus, this district review process of pressure and support facilitates the sharing of successful strategies across districts.  </w:t>
      </w:r>
    </w:p>
    <w:p w14:paraId="6566750F" w14:textId="77777777" w:rsidR="0029756F" w:rsidRPr="0029756F" w:rsidRDefault="0029756F" w:rsidP="0029756F">
      <w:pPr>
        <w:rPr>
          <w:rFonts w:cs="Times New Roman"/>
          <w:sz w:val="24"/>
          <w:szCs w:val="24"/>
        </w:rPr>
      </w:pPr>
      <w:r w:rsidRPr="0029756F">
        <w:rPr>
          <w:rFonts w:cs="Times New Roman"/>
          <w:sz w:val="24"/>
          <w:szCs w:val="24"/>
        </w:rPr>
        <w:t xml:space="preserve">The lesson is that, if districts are to play a key role in efforts to improve schools and to sustain those improvements over time, states will need to monitor the performance of districts to identify those that need support and assistance in carrying out their responsibilities to serve all children within their boundaries well. Such attention from the state level is particularly important given that not all districts will have the capacity, resources, or political will, to be successful on their own.  </w:t>
      </w:r>
    </w:p>
    <w:p w14:paraId="26A5A00F" w14:textId="77777777" w:rsidR="0029756F" w:rsidRPr="0029756F" w:rsidRDefault="0029756F" w:rsidP="0029756F">
      <w:pPr>
        <w:rPr>
          <w:rFonts w:cs="Times New Roman"/>
          <w:b/>
          <w:sz w:val="24"/>
          <w:szCs w:val="24"/>
        </w:rPr>
      </w:pPr>
      <w:r w:rsidRPr="0029756F">
        <w:rPr>
          <w:rFonts w:cs="Times New Roman"/>
          <w:b/>
          <w:sz w:val="24"/>
          <w:szCs w:val="24"/>
        </w:rPr>
        <w:t xml:space="preserve">Lesson 3.  The need for support within school systems for disadvantaged students.   </w:t>
      </w:r>
    </w:p>
    <w:p w14:paraId="3AFA3099" w14:textId="1CFBC28C" w:rsidR="0029756F" w:rsidRPr="0029756F" w:rsidRDefault="0029756F" w:rsidP="0029756F">
      <w:pPr>
        <w:rPr>
          <w:rFonts w:cs="Times New Roman"/>
          <w:sz w:val="24"/>
          <w:szCs w:val="24"/>
        </w:rPr>
      </w:pPr>
      <w:r w:rsidRPr="0029756F">
        <w:rPr>
          <w:rFonts w:cs="Times New Roman"/>
          <w:sz w:val="24"/>
          <w:szCs w:val="24"/>
        </w:rPr>
        <w:t>The major U.S. federal education initiatives of the last 15 years – No Child Left Behind under George W. Bush and Race to the Top and School Improvement Grants under Bara</w:t>
      </w:r>
      <w:r w:rsidR="00522889">
        <w:rPr>
          <w:rFonts w:cs="Times New Roman"/>
          <w:sz w:val="24"/>
          <w:szCs w:val="24"/>
        </w:rPr>
        <w:t>c</w:t>
      </w:r>
      <w:r w:rsidRPr="0029756F">
        <w:rPr>
          <w:rFonts w:cs="Times New Roman"/>
          <w:sz w:val="24"/>
          <w:szCs w:val="24"/>
        </w:rPr>
        <w:t xml:space="preserve">k Obama – made strong declarations about the importance of high expectations for all children. In promoting his legislation, former President Bush famously decried the “soft tyranny of low expectations” for disadvantaged children, but his administration paid little or no attention </w:t>
      </w:r>
      <w:r w:rsidR="00522889">
        <w:rPr>
          <w:rFonts w:cs="Times New Roman"/>
          <w:sz w:val="24"/>
          <w:szCs w:val="24"/>
        </w:rPr>
        <w:t xml:space="preserve">to </w:t>
      </w:r>
      <w:r w:rsidRPr="0029756F">
        <w:rPr>
          <w:rFonts w:cs="Times New Roman"/>
          <w:sz w:val="24"/>
          <w:szCs w:val="24"/>
        </w:rPr>
        <w:t xml:space="preserve">the supports needed to meet those expectations (Ladd, 2012).  While the federal government has recently allocated substantial amounts of new funding for school turnaround efforts through Race to the Top and School Improvement grants, it is not clear the extent to which state and district officials used these funds to address the external circumstances of disadvantaged families and, thereby, to give them the support necessary to meet the high expectations. </w:t>
      </w:r>
    </w:p>
    <w:p w14:paraId="2B272C8F" w14:textId="77777777" w:rsidR="0029756F" w:rsidRPr="0029756F" w:rsidRDefault="0029756F" w:rsidP="0029756F">
      <w:pPr>
        <w:rPr>
          <w:rFonts w:cs="Times New Roman"/>
          <w:sz w:val="24"/>
          <w:szCs w:val="24"/>
        </w:rPr>
      </w:pPr>
      <w:r w:rsidRPr="0029756F">
        <w:rPr>
          <w:rFonts w:cs="Times New Roman"/>
          <w:sz w:val="24"/>
          <w:szCs w:val="24"/>
        </w:rPr>
        <w:t>U.S. policy makers are now increasingly recognizing the importance of addressing the educational barriers than many children from disadvantaged children face, and they have made progress in some areas.  That shows up in greater support for early childhood programs, the expansion of health care coverage, and the provision of nutrition supports and wraparound social services in some communities. Nonetheless large numbers of disadvantaged children do not receive the individualized attention they need to succeed, and many schools are not equipped to help address the emotional and other problems such children bring to the classroom.</w:t>
      </w:r>
    </w:p>
    <w:p w14:paraId="18E52EA9" w14:textId="3854A11A" w:rsidR="0029756F" w:rsidRPr="0029756F" w:rsidRDefault="0029756F" w:rsidP="0029756F">
      <w:pPr>
        <w:rPr>
          <w:rFonts w:cs="Times New Roman"/>
          <w:sz w:val="24"/>
          <w:szCs w:val="24"/>
        </w:rPr>
      </w:pPr>
      <w:r w:rsidRPr="0029756F">
        <w:rPr>
          <w:rFonts w:cs="Times New Roman"/>
          <w:sz w:val="24"/>
          <w:szCs w:val="24"/>
        </w:rPr>
        <w:t>If they work together, states, school districts</w:t>
      </w:r>
      <w:r w:rsidR="00522889">
        <w:rPr>
          <w:rFonts w:cs="Times New Roman"/>
          <w:sz w:val="24"/>
          <w:szCs w:val="24"/>
        </w:rPr>
        <w:t>, and</w:t>
      </w:r>
      <w:r w:rsidRPr="0029756F">
        <w:rPr>
          <w:rFonts w:cs="Times New Roman"/>
          <w:sz w:val="24"/>
          <w:szCs w:val="24"/>
        </w:rPr>
        <w:t xml:space="preserve"> individual schools can make sure that schools have the capacity they need to help disadvantaged students be successful.  Doing so may well require that state school aid be disproportionately directed to districts with high proportions of needy students and that districts provide more support to schools serving such students. Importantly, districts will need to make sure that local schools have the analytical capacity to identify and monitor the progress of individual students. And the districts will need to work with other local agencies to make sure that individual schools have either the internal capacity </w:t>
      </w:r>
      <w:r w:rsidRPr="0029756F">
        <w:rPr>
          <w:rFonts w:cs="Times New Roman"/>
          <w:sz w:val="24"/>
          <w:szCs w:val="24"/>
        </w:rPr>
        <w:lastRenderedPageBreak/>
        <w:t xml:space="preserve">to meet the needs of their students or the ability to access the local social services needed by the children and their families.    </w:t>
      </w:r>
    </w:p>
    <w:p w14:paraId="2B3BD287" w14:textId="77777777" w:rsidR="0029756F" w:rsidRPr="0029756F" w:rsidRDefault="0029756F" w:rsidP="0029756F">
      <w:pPr>
        <w:rPr>
          <w:rFonts w:cs="Times New Roman"/>
          <w:sz w:val="24"/>
          <w:szCs w:val="24"/>
        </w:rPr>
      </w:pPr>
      <w:r w:rsidRPr="0029756F">
        <w:rPr>
          <w:rFonts w:cs="Times New Roman"/>
          <w:sz w:val="24"/>
          <w:szCs w:val="24"/>
        </w:rPr>
        <w:t>The lesson from the London experience is that, for districts and schools to be successful, they will need to work hard to offset the particular challenges that disadvantaged children bring to the classroom. Although districts and schools obviously lack the capability to eliminate poverty in general, they do have the ability to mitigate many of the ways in which poverty has a negative impact on student learning.</w:t>
      </w:r>
    </w:p>
    <w:p w14:paraId="3108434F" w14:textId="77777777" w:rsidR="0029756F" w:rsidRPr="0029756F" w:rsidRDefault="0029756F" w:rsidP="0029756F">
      <w:pPr>
        <w:rPr>
          <w:rFonts w:cs="Times New Roman"/>
          <w:b/>
          <w:sz w:val="28"/>
          <w:szCs w:val="28"/>
        </w:rPr>
      </w:pPr>
      <w:r w:rsidRPr="0029756F">
        <w:rPr>
          <w:rFonts w:cs="Times New Roman"/>
          <w:b/>
          <w:sz w:val="28"/>
          <w:szCs w:val="28"/>
        </w:rPr>
        <w:t xml:space="preserve">A Final Thought  </w:t>
      </w:r>
    </w:p>
    <w:p w14:paraId="250B055E" w14:textId="77777777" w:rsidR="0029756F" w:rsidRPr="0029756F" w:rsidRDefault="0029756F" w:rsidP="0029756F">
      <w:pPr>
        <w:contextualSpacing/>
        <w:rPr>
          <w:sz w:val="24"/>
          <w:szCs w:val="24"/>
        </w:rPr>
      </w:pPr>
      <w:r w:rsidRPr="0029756F">
        <w:rPr>
          <w:rFonts w:cs="Times New Roman"/>
          <w:sz w:val="24"/>
          <w:szCs w:val="24"/>
        </w:rPr>
        <w:t xml:space="preserve">Some of the English educators with whom we spoke suggested that there was nothing particularly new or innovative about the strategies they were pursuing. They were simply implementing fundamental time-honored principles of effective education by establishing an overall vision and working closely with strong headteachers and other leaders to implement it.  That meant training and supporting good teachers, arming them with coherent curricula, holding them accountable while treating them as responsible professionals, using resources productively, and making sure that all pupils get the support they need to succeed.   </w:t>
      </w:r>
    </w:p>
    <w:p w14:paraId="0F656051" w14:textId="77777777" w:rsidR="004E054A" w:rsidRDefault="004E054A" w:rsidP="0029756F">
      <w:pPr>
        <w:rPr>
          <w:rFonts w:cs="Times New Roman"/>
          <w:sz w:val="24"/>
          <w:szCs w:val="24"/>
        </w:rPr>
      </w:pPr>
    </w:p>
    <w:p w14:paraId="640A5B65" w14:textId="2998F5C1" w:rsidR="0029756F" w:rsidRPr="0029756F" w:rsidRDefault="0029756F" w:rsidP="0029756F">
      <w:pPr>
        <w:rPr>
          <w:rFonts w:cs="Times New Roman"/>
          <w:sz w:val="24"/>
          <w:szCs w:val="24"/>
        </w:rPr>
      </w:pPr>
      <w:r w:rsidRPr="0029756F">
        <w:rPr>
          <w:rFonts w:cs="Times New Roman"/>
          <w:sz w:val="24"/>
          <w:szCs w:val="24"/>
        </w:rPr>
        <w:t xml:space="preserve">This paper began with the observation that London is one of the relatively few urban areas in any developed country to have found a way to generate educational excellence while serving large concentrations of low-income pupils. The “London Effect” was real. To American eyes, the educational successes in Tower Hamlets and Hackney are particularly noteworthy for the overall approach that they took. Rather than trying to improve schools through governance, structural or other changes that have little direct impact on what happens in classrooms, they focused their attention on time-honored fundamentals of good education.   </w:t>
      </w:r>
    </w:p>
    <w:p w14:paraId="7C611B69" w14:textId="77777777" w:rsidR="0029756F" w:rsidRPr="0029756F" w:rsidRDefault="0029756F" w:rsidP="0029756F">
      <w:pPr>
        <w:rPr>
          <w:rFonts w:cs="Times New Roman"/>
          <w:sz w:val="24"/>
          <w:szCs w:val="24"/>
        </w:rPr>
      </w:pPr>
    </w:p>
    <w:p w14:paraId="346596A9" w14:textId="77777777" w:rsidR="0029756F" w:rsidRPr="0029756F" w:rsidRDefault="0029756F" w:rsidP="0029756F">
      <w:pPr>
        <w:rPr>
          <w:rFonts w:cs="Times New Roman"/>
          <w:sz w:val="24"/>
          <w:szCs w:val="24"/>
        </w:rPr>
      </w:pPr>
    </w:p>
    <w:p w14:paraId="3851B3A0" w14:textId="77777777" w:rsidR="0029756F" w:rsidRPr="0029756F" w:rsidRDefault="0029756F" w:rsidP="0029756F">
      <w:pPr>
        <w:spacing w:after="160" w:line="259" w:lineRule="auto"/>
        <w:rPr>
          <w:rFonts w:cs="Times New Roman"/>
          <w:sz w:val="24"/>
          <w:szCs w:val="24"/>
        </w:rPr>
      </w:pPr>
      <w:r w:rsidRPr="0029756F">
        <w:rPr>
          <w:rFonts w:cs="Times New Roman"/>
          <w:sz w:val="24"/>
          <w:szCs w:val="24"/>
        </w:rPr>
        <w:br w:type="page"/>
      </w:r>
    </w:p>
    <w:p w14:paraId="3164DFFC" w14:textId="77777777" w:rsidR="0029756F" w:rsidRPr="0029756F" w:rsidRDefault="0029756F" w:rsidP="0029756F">
      <w:pPr>
        <w:rPr>
          <w:rFonts w:cs="Times New Roman"/>
          <w:sz w:val="24"/>
          <w:szCs w:val="24"/>
        </w:rPr>
      </w:pPr>
    </w:p>
    <w:p w14:paraId="05F19EBE" w14:textId="77777777" w:rsidR="0029756F" w:rsidRPr="0029756F" w:rsidRDefault="0029756F" w:rsidP="0029756F">
      <w:pPr>
        <w:contextualSpacing/>
        <w:rPr>
          <w:rFonts w:cs="Times New Roman"/>
          <w:sz w:val="24"/>
          <w:szCs w:val="24"/>
        </w:rPr>
      </w:pPr>
      <w:r w:rsidRPr="0029756F">
        <w:rPr>
          <w:rFonts w:cs="Times New Roman"/>
          <w:sz w:val="24"/>
          <w:szCs w:val="24"/>
        </w:rPr>
        <w:t>____________________________________________________________________________</w:t>
      </w:r>
    </w:p>
    <w:p w14:paraId="21638A7C" w14:textId="77777777" w:rsidR="0029756F" w:rsidRPr="0029756F" w:rsidRDefault="0029756F" w:rsidP="0029756F">
      <w:pPr>
        <w:contextualSpacing/>
        <w:rPr>
          <w:rFonts w:cs="Times New Roman"/>
          <w:b/>
          <w:sz w:val="24"/>
          <w:szCs w:val="24"/>
        </w:rPr>
      </w:pPr>
      <w:r w:rsidRPr="0029756F">
        <w:rPr>
          <w:rFonts w:cs="Times New Roman"/>
          <w:b/>
          <w:sz w:val="24"/>
          <w:szCs w:val="24"/>
        </w:rPr>
        <w:t>BOX – Current Approaches to School Improvement in the U.S.</w:t>
      </w:r>
    </w:p>
    <w:p w14:paraId="02C47804" w14:textId="24A6424D" w:rsidR="0029756F" w:rsidRPr="0029756F" w:rsidRDefault="0029756F" w:rsidP="0029756F">
      <w:pPr>
        <w:numPr>
          <w:ilvl w:val="0"/>
          <w:numId w:val="7"/>
        </w:numPr>
        <w:spacing w:after="160" w:line="259" w:lineRule="auto"/>
        <w:contextualSpacing/>
        <w:rPr>
          <w:rFonts w:cs="Times New Roman"/>
          <w:b/>
          <w:sz w:val="24"/>
          <w:szCs w:val="24"/>
        </w:rPr>
      </w:pPr>
      <w:r w:rsidRPr="0029756F">
        <w:rPr>
          <w:rFonts w:cs="Times New Roman"/>
          <w:b/>
          <w:sz w:val="24"/>
          <w:szCs w:val="24"/>
        </w:rPr>
        <w:t xml:space="preserve">School-specific </w:t>
      </w:r>
      <w:r w:rsidR="00F808F4">
        <w:rPr>
          <w:rFonts w:cs="Times New Roman"/>
          <w:b/>
          <w:sz w:val="24"/>
          <w:szCs w:val="24"/>
        </w:rPr>
        <w:t>t</w:t>
      </w:r>
      <w:r w:rsidRPr="0029756F">
        <w:rPr>
          <w:rFonts w:cs="Times New Roman"/>
          <w:b/>
          <w:sz w:val="24"/>
          <w:szCs w:val="24"/>
        </w:rPr>
        <w:t xml:space="preserve">urnaround </w:t>
      </w:r>
      <w:r w:rsidR="00F808F4">
        <w:rPr>
          <w:rFonts w:cs="Times New Roman"/>
          <w:b/>
          <w:sz w:val="24"/>
          <w:szCs w:val="24"/>
        </w:rPr>
        <w:t>s</w:t>
      </w:r>
      <w:r w:rsidRPr="0029756F">
        <w:rPr>
          <w:rFonts w:cs="Times New Roman"/>
          <w:b/>
          <w:sz w:val="24"/>
          <w:szCs w:val="24"/>
        </w:rPr>
        <w:t xml:space="preserve">trategies </w:t>
      </w:r>
    </w:p>
    <w:p w14:paraId="463CD113" w14:textId="77777777" w:rsidR="0029756F" w:rsidRPr="0029756F" w:rsidRDefault="0029756F" w:rsidP="0029756F">
      <w:pPr>
        <w:ind w:left="720"/>
        <w:contextualSpacing/>
        <w:rPr>
          <w:rFonts w:cs="Times New Roman"/>
          <w:sz w:val="24"/>
          <w:szCs w:val="24"/>
        </w:rPr>
      </w:pPr>
    </w:p>
    <w:p w14:paraId="262D9269" w14:textId="77777777" w:rsidR="0029756F" w:rsidRPr="0029756F" w:rsidRDefault="0029756F" w:rsidP="0029756F">
      <w:pPr>
        <w:ind w:left="720"/>
        <w:contextualSpacing/>
        <w:rPr>
          <w:rFonts w:cs="Times New Roman"/>
          <w:sz w:val="24"/>
          <w:szCs w:val="24"/>
        </w:rPr>
      </w:pPr>
      <w:r w:rsidRPr="0029756F">
        <w:rPr>
          <w:rFonts w:cs="Times New Roman"/>
          <w:sz w:val="24"/>
          <w:szCs w:val="24"/>
        </w:rPr>
        <w:t>Characteristics: Focus on individual schools identified as low-performing.</w:t>
      </w:r>
    </w:p>
    <w:p w14:paraId="3D567BB8" w14:textId="77777777" w:rsidR="0029756F" w:rsidRPr="0029756F" w:rsidRDefault="0029756F" w:rsidP="0029756F">
      <w:pPr>
        <w:ind w:left="720"/>
        <w:contextualSpacing/>
        <w:rPr>
          <w:rFonts w:cs="Times New Roman"/>
          <w:sz w:val="24"/>
          <w:szCs w:val="24"/>
        </w:rPr>
      </w:pPr>
    </w:p>
    <w:p w14:paraId="39D516D0"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Example: Federal strategy promoted by Race to the Top and School Improvement Grants to states and implemented by the states. </w:t>
      </w:r>
    </w:p>
    <w:p w14:paraId="3ED902A7" w14:textId="77777777" w:rsidR="0029756F" w:rsidRPr="0029756F" w:rsidRDefault="0029756F" w:rsidP="0029756F">
      <w:pPr>
        <w:ind w:left="1440"/>
        <w:contextualSpacing/>
        <w:rPr>
          <w:rFonts w:cs="Times New Roman"/>
          <w:sz w:val="24"/>
          <w:szCs w:val="24"/>
        </w:rPr>
      </w:pPr>
    </w:p>
    <w:p w14:paraId="26479963" w14:textId="6C18A4DC" w:rsidR="0029756F" w:rsidRPr="0029756F" w:rsidRDefault="0029756F" w:rsidP="0029756F">
      <w:pPr>
        <w:ind w:left="720"/>
        <w:contextualSpacing/>
        <w:rPr>
          <w:rFonts w:cs="Times New Roman"/>
          <w:sz w:val="24"/>
          <w:szCs w:val="24"/>
        </w:rPr>
      </w:pPr>
      <w:r w:rsidRPr="0029756F">
        <w:rPr>
          <w:rFonts w:cs="Times New Roman"/>
          <w:sz w:val="24"/>
          <w:szCs w:val="24"/>
        </w:rPr>
        <w:t>Comment</w:t>
      </w:r>
      <w:r w:rsidR="00522889">
        <w:rPr>
          <w:rFonts w:cs="Times New Roman"/>
          <w:sz w:val="24"/>
          <w:szCs w:val="24"/>
        </w:rPr>
        <w:t>:</w:t>
      </w:r>
      <w:r w:rsidR="00522889" w:rsidRPr="0029756F">
        <w:rPr>
          <w:rFonts w:cs="Times New Roman"/>
          <w:sz w:val="24"/>
          <w:szCs w:val="24"/>
        </w:rPr>
        <w:t xml:space="preserve"> </w:t>
      </w:r>
      <w:r w:rsidRPr="0029756F">
        <w:rPr>
          <w:rFonts w:cs="Times New Roman"/>
          <w:sz w:val="24"/>
          <w:szCs w:val="24"/>
        </w:rPr>
        <w:t xml:space="preserve">Not area-wide, although the specific models could, in principle, be incorporated into district-wide strategies. </w:t>
      </w:r>
    </w:p>
    <w:p w14:paraId="23D420D7" w14:textId="77777777" w:rsidR="0029756F" w:rsidRPr="0029756F" w:rsidRDefault="0029756F" w:rsidP="0029756F">
      <w:pPr>
        <w:ind w:left="1440"/>
        <w:contextualSpacing/>
        <w:rPr>
          <w:rFonts w:cs="Times New Roman"/>
          <w:sz w:val="24"/>
          <w:szCs w:val="24"/>
        </w:rPr>
      </w:pPr>
    </w:p>
    <w:p w14:paraId="1BFCA296" w14:textId="77777777" w:rsidR="0029756F" w:rsidRPr="0029756F" w:rsidRDefault="0029756F" w:rsidP="0029756F">
      <w:pPr>
        <w:numPr>
          <w:ilvl w:val="0"/>
          <w:numId w:val="7"/>
        </w:numPr>
        <w:spacing w:after="160" w:line="259" w:lineRule="auto"/>
        <w:contextualSpacing/>
        <w:rPr>
          <w:rFonts w:cs="Times New Roman"/>
          <w:b/>
          <w:sz w:val="24"/>
          <w:szCs w:val="24"/>
        </w:rPr>
      </w:pPr>
      <w:r w:rsidRPr="0029756F">
        <w:rPr>
          <w:rFonts w:cs="Times New Roman"/>
          <w:b/>
          <w:sz w:val="24"/>
          <w:szCs w:val="24"/>
        </w:rPr>
        <w:t>State-operated Achievement Districts</w:t>
      </w:r>
    </w:p>
    <w:p w14:paraId="45F61D19" w14:textId="77777777" w:rsidR="0029756F" w:rsidRPr="0029756F" w:rsidRDefault="0029756F" w:rsidP="0029756F">
      <w:pPr>
        <w:ind w:left="1440"/>
        <w:contextualSpacing/>
        <w:rPr>
          <w:rFonts w:cs="Times New Roman"/>
          <w:sz w:val="24"/>
          <w:szCs w:val="24"/>
        </w:rPr>
      </w:pPr>
    </w:p>
    <w:p w14:paraId="0DC7224D"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Definition: Established by states and composed entirely of low-performing schools under the control of the state. A state can either operate the schools itself or transfer operating authority to charter schools. </w:t>
      </w:r>
    </w:p>
    <w:p w14:paraId="2B7B8BC3" w14:textId="77777777" w:rsidR="0029756F" w:rsidRPr="0029756F" w:rsidRDefault="0029756F" w:rsidP="0029756F">
      <w:pPr>
        <w:ind w:left="720"/>
        <w:contextualSpacing/>
        <w:rPr>
          <w:rFonts w:cs="Times New Roman"/>
          <w:sz w:val="24"/>
          <w:szCs w:val="24"/>
        </w:rPr>
      </w:pPr>
    </w:p>
    <w:p w14:paraId="3DAD7CA0" w14:textId="08796B29" w:rsidR="0029756F" w:rsidRPr="0029756F" w:rsidRDefault="0029756F" w:rsidP="0029756F">
      <w:pPr>
        <w:ind w:left="720"/>
        <w:contextualSpacing/>
        <w:rPr>
          <w:rFonts w:cs="Times New Roman"/>
          <w:sz w:val="24"/>
          <w:szCs w:val="24"/>
        </w:rPr>
      </w:pPr>
      <w:r w:rsidRPr="0029756F">
        <w:rPr>
          <w:rFonts w:cs="Times New Roman"/>
          <w:sz w:val="24"/>
          <w:szCs w:val="24"/>
        </w:rPr>
        <w:t xml:space="preserve">Examples: Recovery School District in Louisiana (which now oversees charter schools educating 70 percent of students in New Orleans); Achievement District in Tennessee that oversees 29 schools; Education Achievement Authority in Michigan that </w:t>
      </w:r>
      <w:r w:rsidR="00B44029">
        <w:rPr>
          <w:rFonts w:cs="Times New Roman"/>
          <w:sz w:val="24"/>
          <w:szCs w:val="24"/>
        </w:rPr>
        <w:t xml:space="preserve">is </w:t>
      </w:r>
      <w:r w:rsidRPr="0029756F">
        <w:rPr>
          <w:rFonts w:cs="Times New Roman"/>
          <w:sz w:val="24"/>
          <w:szCs w:val="24"/>
        </w:rPr>
        <w:t>in charge of 15 schools in Detroit.</w:t>
      </w:r>
    </w:p>
    <w:p w14:paraId="4392D639" w14:textId="77777777" w:rsidR="0029756F" w:rsidRPr="0029756F" w:rsidRDefault="0029756F" w:rsidP="0029756F">
      <w:pPr>
        <w:ind w:left="720"/>
        <w:contextualSpacing/>
        <w:rPr>
          <w:rFonts w:cs="Times New Roman"/>
          <w:sz w:val="24"/>
          <w:szCs w:val="24"/>
        </w:rPr>
      </w:pPr>
    </w:p>
    <w:p w14:paraId="73312936" w14:textId="43752C64" w:rsidR="0029756F" w:rsidRPr="0029756F" w:rsidRDefault="0029756F" w:rsidP="0029756F">
      <w:pPr>
        <w:ind w:left="720"/>
        <w:contextualSpacing/>
        <w:rPr>
          <w:rFonts w:cs="Times New Roman"/>
          <w:sz w:val="24"/>
          <w:szCs w:val="24"/>
        </w:rPr>
      </w:pPr>
      <w:r w:rsidRPr="0029756F">
        <w:rPr>
          <w:rFonts w:cs="Times New Roman"/>
          <w:sz w:val="24"/>
          <w:szCs w:val="24"/>
        </w:rPr>
        <w:t>Comment: Such districts typically cut across geographically defined districts</w:t>
      </w:r>
      <w:r w:rsidR="00B44029">
        <w:rPr>
          <w:rFonts w:cs="Times New Roman"/>
          <w:sz w:val="24"/>
          <w:szCs w:val="24"/>
        </w:rPr>
        <w:t xml:space="preserve"> and sever the managerial ties between schools and the local district in which they are located.  </w:t>
      </w:r>
      <w:r w:rsidRPr="0029756F">
        <w:rPr>
          <w:rFonts w:cs="Times New Roman"/>
          <w:sz w:val="24"/>
          <w:szCs w:val="24"/>
        </w:rPr>
        <w:t xml:space="preserve">That makes it difficult for local school district leaders to </w:t>
      </w:r>
      <w:r w:rsidR="00F808F4">
        <w:rPr>
          <w:rFonts w:cs="Times New Roman"/>
          <w:sz w:val="24"/>
          <w:szCs w:val="24"/>
        </w:rPr>
        <w:t xml:space="preserve">implement </w:t>
      </w:r>
      <w:r w:rsidRPr="0029756F">
        <w:rPr>
          <w:rFonts w:cs="Times New Roman"/>
          <w:sz w:val="24"/>
          <w:szCs w:val="24"/>
        </w:rPr>
        <w:t xml:space="preserve">area-wide strategic plans.  </w:t>
      </w:r>
    </w:p>
    <w:p w14:paraId="4006FB06"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  </w:t>
      </w:r>
      <w:r w:rsidRPr="0029756F">
        <w:rPr>
          <w:rFonts w:cs="Times New Roman"/>
          <w:sz w:val="24"/>
          <w:szCs w:val="24"/>
        </w:rPr>
        <w:tab/>
      </w:r>
    </w:p>
    <w:p w14:paraId="66D8D923" w14:textId="77777777" w:rsidR="0029756F" w:rsidRPr="0029756F" w:rsidRDefault="0029756F" w:rsidP="0029756F">
      <w:pPr>
        <w:numPr>
          <w:ilvl w:val="0"/>
          <w:numId w:val="7"/>
        </w:numPr>
        <w:spacing w:after="160" w:line="259" w:lineRule="auto"/>
        <w:contextualSpacing/>
        <w:rPr>
          <w:rFonts w:cs="Times New Roman"/>
          <w:b/>
          <w:sz w:val="24"/>
          <w:szCs w:val="24"/>
        </w:rPr>
      </w:pPr>
      <w:r w:rsidRPr="0029756F">
        <w:rPr>
          <w:rFonts w:cs="Times New Roman"/>
          <w:b/>
          <w:sz w:val="24"/>
          <w:szCs w:val="24"/>
        </w:rPr>
        <w:t>Innovation Zones (I-Zones)</w:t>
      </w:r>
    </w:p>
    <w:p w14:paraId="280F0A41" w14:textId="77777777" w:rsidR="0029756F" w:rsidRPr="0029756F" w:rsidRDefault="0029756F" w:rsidP="0029756F">
      <w:pPr>
        <w:ind w:left="720"/>
        <w:contextualSpacing/>
        <w:rPr>
          <w:rFonts w:cs="Times New Roman"/>
          <w:b/>
          <w:sz w:val="24"/>
          <w:szCs w:val="24"/>
        </w:rPr>
      </w:pPr>
    </w:p>
    <w:p w14:paraId="640920B9"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Definition: Created by districts as an analogue to a state-run Achievement District. Each school has budgetary and hiring autonomy and may ultimately be converted to a charter school. </w:t>
      </w:r>
    </w:p>
    <w:p w14:paraId="4D39537D" w14:textId="77777777" w:rsidR="0029756F" w:rsidRPr="0029756F" w:rsidRDefault="0029756F" w:rsidP="0029756F">
      <w:pPr>
        <w:ind w:left="720"/>
        <w:contextualSpacing/>
        <w:rPr>
          <w:rFonts w:cs="Times New Roman"/>
          <w:sz w:val="24"/>
          <w:szCs w:val="24"/>
        </w:rPr>
      </w:pPr>
    </w:p>
    <w:p w14:paraId="2B44CD09" w14:textId="77777777" w:rsidR="0029756F" w:rsidRPr="0029756F" w:rsidRDefault="0029756F" w:rsidP="0029756F">
      <w:pPr>
        <w:ind w:left="720"/>
        <w:contextualSpacing/>
        <w:rPr>
          <w:rFonts w:cs="Times New Roman"/>
          <w:sz w:val="24"/>
          <w:szCs w:val="24"/>
        </w:rPr>
      </w:pPr>
      <w:r w:rsidRPr="0029756F">
        <w:rPr>
          <w:rFonts w:cs="Times New Roman"/>
          <w:sz w:val="24"/>
          <w:szCs w:val="24"/>
        </w:rPr>
        <w:lastRenderedPageBreak/>
        <w:t xml:space="preserve">Example: Metro Nashville Public Schools I-zone with 10 schools; Springfield, MA empowerment zone (collaboration of state and local officials and teachers); Shelby County, TN. I-Zone with 16 schools.  </w:t>
      </w:r>
    </w:p>
    <w:p w14:paraId="6066FA8A" w14:textId="77777777" w:rsidR="00B44029" w:rsidRDefault="00B44029" w:rsidP="0029756F">
      <w:pPr>
        <w:ind w:left="720"/>
        <w:rPr>
          <w:rFonts w:cs="Times New Roman"/>
          <w:sz w:val="24"/>
          <w:szCs w:val="24"/>
        </w:rPr>
      </w:pPr>
    </w:p>
    <w:p w14:paraId="3F2442A2" w14:textId="13FCB2E0" w:rsidR="0029756F" w:rsidRPr="0029756F" w:rsidRDefault="0029756F" w:rsidP="0029756F">
      <w:pPr>
        <w:ind w:left="720"/>
        <w:rPr>
          <w:rFonts w:cs="Times New Roman"/>
          <w:sz w:val="24"/>
          <w:szCs w:val="24"/>
        </w:rPr>
      </w:pPr>
      <w:r w:rsidRPr="0029756F">
        <w:rPr>
          <w:rFonts w:cs="Times New Roman"/>
          <w:sz w:val="24"/>
          <w:szCs w:val="24"/>
        </w:rPr>
        <w:t>Comment</w:t>
      </w:r>
      <w:r w:rsidR="00522889">
        <w:rPr>
          <w:rFonts w:cs="Times New Roman"/>
          <w:sz w:val="24"/>
          <w:szCs w:val="24"/>
        </w:rPr>
        <w:t>:</w:t>
      </w:r>
      <w:r w:rsidR="00522889" w:rsidRPr="0029756F">
        <w:rPr>
          <w:rFonts w:cs="Times New Roman"/>
          <w:sz w:val="24"/>
          <w:szCs w:val="24"/>
        </w:rPr>
        <w:t xml:space="preserve"> </w:t>
      </w:r>
      <w:r w:rsidRPr="0029756F">
        <w:rPr>
          <w:rFonts w:cs="Times New Roman"/>
          <w:sz w:val="24"/>
          <w:szCs w:val="24"/>
        </w:rPr>
        <w:t xml:space="preserve">Can be consistent with an area- wide strategy to the extent that it serves as an explicit component of a district strategy based on clear goals and shared values. Special treatment of those schools, however, may interfere with the collective responsibility of all schools for all children in the district. </w:t>
      </w:r>
    </w:p>
    <w:p w14:paraId="0FEC319B" w14:textId="2DE7BB98" w:rsidR="0029756F" w:rsidRPr="00B44029" w:rsidRDefault="0029756F" w:rsidP="00B44029">
      <w:pPr>
        <w:numPr>
          <w:ilvl w:val="0"/>
          <w:numId w:val="7"/>
        </w:numPr>
        <w:spacing w:after="160" w:line="259" w:lineRule="auto"/>
        <w:contextualSpacing/>
        <w:rPr>
          <w:rFonts w:cs="Times New Roman"/>
          <w:b/>
          <w:sz w:val="24"/>
          <w:szCs w:val="24"/>
        </w:rPr>
      </w:pPr>
      <w:r w:rsidRPr="00B44029">
        <w:rPr>
          <w:rFonts w:cs="Times New Roman"/>
          <w:b/>
          <w:sz w:val="24"/>
          <w:szCs w:val="24"/>
        </w:rPr>
        <w:t xml:space="preserve">School </w:t>
      </w:r>
      <w:r w:rsidR="00F808F4">
        <w:rPr>
          <w:rFonts w:cs="Times New Roman"/>
          <w:b/>
          <w:sz w:val="24"/>
          <w:szCs w:val="24"/>
        </w:rPr>
        <w:t>a</w:t>
      </w:r>
      <w:r w:rsidRPr="00B44029">
        <w:rPr>
          <w:rFonts w:cs="Times New Roman"/>
          <w:b/>
          <w:sz w:val="24"/>
          <w:szCs w:val="24"/>
        </w:rPr>
        <w:t xml:space="preserve">utonomy within a </w:t>
      </w:r>
      <w:r w:rsidR="00F808F4">
        <w:rPr>
          <w:rFonts w:cs="Times New Roman"/>
          <w:b/>
          <w:sz w:val="24"/>
          <w:szCs w:val="24"/>
        </w:rPr>
        <w:t>d</w:t>
      </w:r>
      <w:r w:rsidRPr="00B44029">
        <w:rPr>
          <w:rFonts w:cs="Times New Roman"/>
          <w:b/>
          <w:sz w:val="24"/>
          <w:szCs w:val="24"/>
        </w:rPr>
        <w:t>istrict.</w:t>
      </w:r>
    </w:p>
    <w:p w14:paraId="7337C75F" w14:textId="77777777" w:rsidR="0029756F" w:rsidRPr="0029756F" w:rsidRDefault="0029756F" w:rsidP="0029756F">
      <w:pPr>
        <w:ind w:left="1440"/>
        <w:contextualSpacing/>
        <w:rPr>
          <w:rFonts w:cs="Times New Roman"/>
          <w:sz w:val="24"/>
          <w:szCs w:val="24"/>
        </w:rPr>
      </w:pPr>
    </w:p>
    <w:p w14:paraId="3DE86CF7"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Definition: Charter-like autonomy and flexibility given to all schools in the district regardless of whether they are charter schools or traditional public schools. </w:t>
      </w:r>
    </w:p>
    <w:p w14:paraId="18A91779" w14:textId="77777777" w:rsidR="0029756F" w:rsidRPr="0029756F" w:rsidRDefault="0029756F" w:rsidP="0029756F">
      <w:pPr>
        <w:ind w:left="720"/>
        <w:contextualSpacing/>
        <w:rPr>
          <w:rFonts w:cs="Times New Roman"/>
          <w:sz w:val="24"/>
          <w:szCs w:val="24"/>
        </w:rPr>
      </w:pPr>
    </w:p>
    <w:p w14:paraId="29F64B55"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Examples.  No clear examples at this point. </w:t>
      </w:r>
    </w:p>
    <w:p w14:paraId="68B4D591" w14:textId="77777777" w:rsidR="0029756F" w:rsidRPr="0029756F" w:rsidRDefault="0029756F" w:rsidP="0029756F">
      <w:pPr>
        <w:ind w:left="720"/>
        <w:contextualSpacing/>
        <w:rPr>
          <w:rFonts w:cs="Times New Roman"/>
          <w:sz w:val="24"/>
          <w:szCs w:val="24"/>
        </w:rPr>
      </w:pPr>
    </w:p>
    <w:p w14:paraId="7C7205C5"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Comment: Extent to which this is an area-wide strategy depends on the power of the district leaders to control the location and enrollment policies of the schools and on the capacity of the district to support struggling schools. </w:t>
      </w:r>
    </w:p>
    <w:p w14:paraId="3D545E90" w14:textId="77777777" w:rsidR="0029756F" w:rsidRPr="0029756F" w:rsidRDefault="0029756F" w:rsidP="0029756F">
      <w:pPr>
        <w:ind w:left="720"/>
        <w:contextualSpacing/>
        <w:rPr>
          <w:rFonts w:cs="Times New Roman"/>
          <w:sz w:val="24"/>
          <w:szCs w:val="24"/>
        </w:rPr>
      </w:pPr>
    </w:p>
    <w:p w14:paraId="68BC87DC" w14:textId="77777777" w:rsidR="0029756F" w:rsidRPr="0029756F" w:rsidRDefault="0029756F" w:rsidP="0029756F">
      <w:pPr>
        <w:numPr>
          <w:ilvl w:val="0"/>
          <w:numId w:val="7"/>
        </w:numPr>
        <w:spacing w:after="160" w:line="259" w:lineRule="auto"/>
        <w:contextualSpacing/>
        <w:rPr>
          <w:rFonts w:cs="Times New Roman"/>
          <w:b/>
          <w:sz w:val="24"/>
          <w:szCs w:val="24"/>
        </w:rPr>
      </w:pPr>
      <w:r w:rsidRPr="0029756F">
        <w:rPr>
          <w:rFonts w:cs="Times New Roman"/>
          <w:b/>
          <w:sz w:val="24"/>
          <w:szCs w:val="24"/>
        </w:rPr>
        <w:t xml:space="preserve">State takeover of a district with the district put into receivership. </w:t>
      </w:r>
    </w:p>
    <w:p w14:paraId="23B5030D" w14:textId="77777777" w:rsidR="0029756F" w:rsidRPr="0029756F" w:rsidRDefault="0029756F" w:rsidP="0029756F">
      <w:pPr>
        <w:ind w:left="720"/>
        <w:contextualSpacing/>
        <w:rPr>
          <w:rFonts w:cs="Times New Roman"/>
          <w:sz w:val="24"/>
          <w:szCs w:val="24"/>
        </w:rPr>
      </w:pPr>
    </w:p>
    <w:p w14:paraId="7242D46C"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Definition: State replaces locally elected school board and the superintendent and appoints a receiver who is given full authority to run the school district. Authority typically includes authorizing charter schools, firing principals and replacing teachers.  </w:t>
      </w:r>
    </w:p>
    <w:p w14:paraId="08DC371D" w14:textId="77777777" w:rsidR="0029756F" w:rsidRPr="0029756F" w:rsidRDefault="0029756F" w:rsidP="0029756F">
      <w:pPr>
        <w:ind w:left="720"/>
        <w:contextualSpacing/>
        <w:rPr>
          <w:rFonts w:cs="Times New Roman"/>
          <w:sz w:val="24"/>
          <w:szCs w:val="24"/>
        </w:rPr>
      </w:pPr>
    </w:p>
    <w:p w14:paraId="033AFB07" w14:textId="77777777" w:rsidR="0029756F" w:rsidRPr="0029756F" w:rsidRDefault="0029756F" w:rsidP="0029756F">
      <w:pPr>
        <w:ind w:left="720"/>
        <w:contextualSpacing/>
        <w:rPr>
          <w:rFonts w:cs="Times New Roman"/>
          <w:sz w:val="24"/>
          <w:szCs w:val="24"/>
        </w:rPr>
      </w:pPr>
      <w:r w:rsidRPr="0029756F">
        <w:rPr>
          <w:rFonts w:cs="Times New Roman"/>
          <w:sz w:val="24"/>
          <w:szCs w:val="24"/>
        </w:rPr>
        <w:t xml:space="preserve">Example: Lawrence, Massachusetts. </w:t>
      </w:r>
    </w:p>
    <w:p w14:paraId="08BCE475" w14:textId="77777777" w:rsidR="0029756F" w:rsidRPr="0029756F" w:rsidRDefault="0029756F" w:rsidP="0029756F">
      <w:pPr>
        <w:ind w:left="720"/>
        <w:contextualSpacing/>
        <w:rPr>
          <w:rFonts w:cs="Times New Roman"/>
          <w:sz w:val="24"/>
          <w:szCs w:val="24"/>
        </w:rPr>
      </w:pPr>
    </w:p>
    <w:p w14:paraId="519516BA" w14:textId="2AC0E0EB" w:rsidR="0029756F" w:rsidRPr="0029756F" w:rsidRDefault="0029756F" w:rsidP="0029756F">
      <w:pPr>
        <w:ind w:left="720"/>
        <w:contextualSpacing/>
        <w:rPr>
          <w:rFonts w:cs="Times New Roman"/>
          <w:sz w:val="24"/>
          <w:szCs w:val="24"/>
        </w:rPr>
      </w:pPr>
      <w:r w:rsidRPr="0029756F">
        <w:rPr>
          <w:rFonts w:cs="Times New Roman"/>
          <w:sz w:val="24"/>
          <w:szCs w:val="24"/>
        </w:rPr>
        <w:t>Comment</w:t>
      </w:r>
      <w:r w:rsidR="003B7B44">
        <w:rPr>
          <w:rFonts w:cs="Times New Roman"/>
          <w:sz w:val="24"/>
          <w:szCs w:val="24"/>
        </w:rPr>
        <w:t>:</w:t>
      </w:r>
      <w:r w:rsidR="003B7B44" w:rsidRPr="0029756F">
        <w:rPr>
          <w:rFonts w:cs="Times New Roman"/>
          <w:sz w:val="24"/>
          <w:szCs w:val="24"/>
        </w:rPr>
        <w:t xml:space="preserve"> </w:t>
      </w:r>
      <w:r w:rsidRPr="0029756F">
        <w:rPr>
          <w:rFonts w:cs="Times New Roman"/>
          <w:sz w:val="24"/>
          <w:szCs w:val="24"/>
        </w:rPr>
        <w:t>Success depends largely on the capacity of the receiver both to run the school system and to achieve buy-in from the local community. Somewhat comparable to the situation in Hackney, albeit with the potential for a greater reliance on non-</w:t>
      </w:r>
      <w:r w:rsidRPr="00F808F4">
        <w:rPr>
          <w:rFonts w:cs="Times New Roman"/>
          <w:sz w:val="24"/>
          <w:szCs w:val="24"/>
        </w:rPr>
        <w:t>traditional public schools. A major difference is that</w:t>
      </w:r>
      <w:r w:rsidR="00FC5742" w:rsidRPr="00F808F4">
        <w:rPr>
          <w:rFonts w:cs="Times New Roman"/>
          <w:sz w:val="24"/>
          <w:szCs w:val="24"/>
        </w:rPr>
        <w:t xml:space="preserve"> authority in Hackney was transferred </w:t>
      </w:r>
      <w:r w:rsidR="00F808F4" w:rsidRPr="00F808F4">
        <w:rPr>
          <w:rFonts w:cs="Times New Roman"/>
          <w:sz w:val="24"/>
          <w:szCs w:val="24"/>
        </w:rPr>
        <w:t xml:space="preserve">for a finite period of time </w:t>
      </w:r>
      <w:r w:rsidR="00FC5742" w:rsidRPr="00F808F4">
        <w:rPr>
          <w:rFonts w:cs="Times New Roman"/>
          <w:sz w:val="24"/>
          <w:szCs w:val="24"/>
        </w:rPr>
        <w:t>to a non-profit organization governed by a board rather than to a single receiver</w:t>
      </w:r>
      <w:r w:rsidR="00F808F4" w:rsidRPr="00F808F4">
        <w:rPr>
          <w:rFonts w:cs="Times New Roman"/>
          <w:sz w:val="24"/>
          <w:szCs w:val="24"/>
        </w:rPr>
        <w:t xml:space="preserve">. </w:t>
      </w:r>
      <w:r w:rsidR="00FC5742">
        <w:rPr>
          <w:rFonts w:cs="Times New Roman"/>
          <w:sz w:val="24"/>
          <w:szCs w:val="24"/>
        </w:rPr>
        <w:t xml:space="preserve">  </w:t>
      </w:r>
      <w:r w:rsidRPr="0029756F">
        <w:rPr>
          <w:rFonts w:cs="Times New Roman"/>
          <w:sz w:val="24"/>
          <w:szCs w:val="24"/>
        </w:rPr>
        <w:t xml:space="preserve"> </w:t>
      </w:r>
    </w:p>
    <w:p w14:paraId="5F95AD35" w14:textId="77777777" w:rsidR="0029756F" w:rsidRPr="0029756F" w:rsidRDefault="0029756F" w:rsidP="0029756F">
      <w:pPr>
        <w:ind w:left="1440"/>
        <w:contextualSpacing/>
        <w:rPr>
          <w:rFonts w:cs="Times New Roman"/>
          <w:sz w:val="24"/>
          <w:szCs w:val="24"/>
        </w:rPr>
      </w:pPr>
    </w:p>
    <w:p w14:paraId="0C22BE65" w14:textId="0BE4CA21" w:rsidR="0029756F" w:rsidRPr="0029756F" w:rsidRDefault="0029756F" w:rsidP="0029756F">
      <w:pPr>
        <w:numPr>
          <w:ilvl w:val="0"/>
          <w:numId w:val="7"/>
        </w:numPr>
        <w:spacing w:after="160" w:line="259" w:lineRule="auto"/>
        <w:contextualSpacing/>
        <w:rPr>
          <w:rFonts w:cs="Times New Roman"/>
          <w:b/>
          <w:sz w:val="24"/>
          <w:szCs w:val="24"/>
        </w:rPr>
      </w:pPr>
      <w:r w:rsidRPr="0029756F">
        <w:rPr>
          <w:rFonts w:cs="Times New Roman"/>
          <w:b/>
          <w:sz w:val="24"/>
          <w:szCs w:val="24"/>
        </w:rPr>
        <w:t>District</w:t>
      </w:r>
      <w:r w:rsidR="003B7B44">
        <w:rPr>
          <w:rFonts w:cs="Times New Roman"/>
          <w:b/>
          <w:sz w:val="24"/>
          <w:szCs w:val="24"/>
        </w:rPr>
        <w:t>-</w:t>
      </w:r>
      <w:r w:rsidRPr="0029756F">
        <w:rPr>
          <w:rFonts w:cs="Times New Roman"/>
          <w:b/>
          <w:sz w:val="24"/>
          <w:szCs w:val="24"/>
        </w:rPr>
        <w:t xml:space="preserve">wide turnaround. </w:t>
      </w:r>
    </w:p>
    <w:p w14:paraId="2BEEF100" w14:textId="77777777" w:rsidR="0029756F" w:rsidRPr="0029756F" w:rsidRDefault="0029756F" w:rsidP="0029756F">
      <w:pPr>
        <w:ind w:left="1440"/>
        <w:contextualSpacing/>
        <w:rPr>
          <w:rFonts w:cs="Times New Roman"/>
          <w:sz w:val="24"/>
          <w:szCs w:val="24"/>
        </w:rPr>
      </w:pPr>
    </w:p>
    <w:p w14:paraId="08A04B58" w14:textId="77777777" w:rsidR="0029756F" w:rsidRPr="0029756F" w:rsidRDefault="0029756F" w:rsidP="0029756F">
      <w:pPr>
        <w:ind w:left="720"/>
        <w:contextualSpacing/>
        <w:rPr>
          <w:rFonts w:cs="Times New Roman"/>
          <w:sz w:val="24"/>
          <w:szCs w:val="24"/>
        </w:rPr>
      </w:pPr>
      <w:r w:rsidRPr="0029756F">
        <w:rPr>
          <w:rFonts w:cs="Times New Roman"/>
          <w:sz w:val="24"/>
          <w:szCs w:val="24"/>
        </w:rPr>
        <w:lastRenderedPageBreak/>
        <w:t xml:space="preserve">Definition: District with multiple low-performing schools takes responsibility for ensuring high quality schools throughout the district. </w:t>
      </w:r>
    </w:p>
    <w:p w14:paraId="0877273E" w14:textId="77777777" w:rsidR="0029756F" w:rsidRPr="0029756F" w:rsidRDefault="0029756F" w:rsidP="0029756F">
      <w:pPr>
        <w:ind w:left="1440"/>
        <w:contextualSpacing/>
        <w:rPr>
          <w:rFonts w:cs="Times New Roman"/>
          <w:sz w:val="24"/>
          <w:szCs w:val="24"/>
        </w:rPr>
      </w:pPr>
    </w:p>
    <w:p w14:paraId="5E2938CF" w14:textId="77777777" w:rsidR="0029756F" w:rsidRPr="0029756F" w:rsidRDefault="0029756F" w:rsidP="0029756F">
      <w:pPr>
        <w:ind w:left="720"/>
        <w:contextualSpacing/>
        <w:rPr>
          <w:rFonts w:cs="Times New Roman"/>
          <w:sz w:val="24"/>
          <w:szCs w:val="24"/>
        </w:rPr>
      </w:pPr>
      <w:r w:rsidRPr="0029756F">
        <w:rPr>
          <w:rFonts w:cs="Times New Roman"/>
          <w:sz w:val="24"/>
          <w:szCs w:val="24"/>
        </w:rPr>
        <w:t>Example: Union City New Jersey</w:t>
      </w:r>
    </w:p>
    <w:p w14:paraId="6E753B62" w14:textId="77777777" w:rsidR="0029756F" w:rsidRPr="0029756F" w:rsidRDefault="0029756F" w:rsidP="0029756F">
      <w:pPr>
        <w:ind w:left="1440"/>
        <w:contextualSpacing/>
        <w:rPr>
          <w:rFonts w:cs="Times New Roman"/>
          <w:sz w:val="24"/>
          <w:szCs w:val="24"/>
        </w:rPr>
      </w:pPr>
    </w:p>
    <w:p w14:paraId="227404CE" w14:textId="632B0849" w:rsidR="0029756F" w:rsidRPr="0029756F" w:rsidRDefault="0029756F" w:rsidP="0029756F">
      <w:pPr>
        <w:ind w:left="720"/>
        <w:contextualSpacing/>
        <w:rPr>
          <w:rFonts w:cs="Times New Roman"/>
          <w:sz w:val="24"/>
          <w:szCs w:val="24"/>
        </w:rPr>
      </w:pPr>
      <w:r w:rsidRPr="0029756F">
        <w:rPr>
          <w:rFonts w:cs="Times New Roman"/>
          <w:sz w:val="24"/>
          <w:szCs w:val="24"/>
        </w:rPr>
        <w:t>Comment</w:t>
      </w:r>
      <w:r w:rsidR="003B7B44">
        <w:rPr>
          <w:rFonts w:cs="Times New Roman"/>
          <w:sz w:val="24"/>
          <w:szCs w:val="24"/>
        </w:rPr>
        <w:t>:</w:t>
      </w:r>
      <w:r w:rsidR="003B7B44" w:rsidRPr="0029756F">
        <w:rPr>
          <w:rFonts w:cs="Times New Roman"/>
          <w:sz w:val="24"/>
          <w:szCs w:val="24"/>
        </w:rPr>
        <w:t xml:space="preserve">  </w:t>
      </w:r>
      <w:r w:rsidRPr="0029756F">
        <w:rPr>
          <w:rFonts w:cs="Times New Roman"/>
          <w:sz w:val="24"/>
          <w:szCs w:val="24"/>
        </w:rPr>
        <w:t xml:space="preserve">Most comparable to the area-wide approach in Tower Hamlets.  As in that case, it depends on strong leadership, appropriate external pressure, sufficient resources and a clear vision. </w:t>
      </w:r>
    </w:p>
    <w:p w14:paraId="57E92362" w14:textId="77777777" w:rsidR="0029756F" w:rsidRPr="0029756F" w:rsidRDefault="0029756F" w:rsidP="0029756F">
      <w:pPr>
        <w:ind w:left="1440"/>
        <w:contextualSpacing/>
        <w:rPr>
          <w:rFonts w:cs="Times New Roman"/>
          <w:sz w:val="24"/>
          <w:szCs w:val="24"/>
        </w:rPr>
      </w:pPr>
    </w:p>
    <w:p w14:paraId="443E78D6" w14:textId="6F5572C9" w:rsidR="00D01353" w:rsidRPr="0029756F" w:rsidRDefault="00FC5742" w:rsidP="0029756F">
      <w:pPr>
        <w:rPr>
          <w:rFonts w:cs="Times New Roman"/>
          <w:sz w:val="24"/>
          <w:szCs w:val="24"/>
        </w:rPr>
      </w:pPr>
      <w:r w:rsidRPr="00FC5742">
        <w:rPr>
          <w:rFonts w:cs="Times New Roman"/>
          <w:sz w:val="24"/>
          <w:szCs w:val="24"/>
        </w:rPr>
        <w:t>Note on sources</w:t>
      </w:r>
      <w:r>
        <w:rPr>
          <w:rFonts w:cs="Times New Roman"/>
          <w:b/>
          <w:sz w:val="24"/>
          <w:szCs w:val="24"/>
        </w:rPr>
        <w:t xml:space="preserve">.  </w:t>
      </w:r>
      <w:r>
        <w:rPr>
          <w:rFonts w:cs="Times New Roman"/>
          <w:sz w:val="24"/>
          <w:szCs w:val="24"/>
        </w:rPr>
        <w:t xml:space="preserve">See </w:t>
      </w:r>
      <w:r w:rsidR="0029756F" w:rsidRPr="0029756F">
        <w:rPr>
          <w:rFonts w:cs="Times New Roman"/>
          <w:sz w:val="24"/>
          <w:szCs w:val="24"/>
        </w:rPr>
        <w:t xml:space="preserve">Education Commission of the </w:t>
      </w:r>
      <w:r>
        <w:rPr>
          <w:rFonts w:cs="Times New Roman"/>
          <w:sz w:val="24"/>
          <w:szCs w:val="24"/>
        </w:rPr>
        <w:t>S</w:t>
      </w:r>
      <w:r w:rsidR="0029756F" w:rsidRPr="0029756F">
        <w:rPr>
          <w:rFonts w:cs="Times New Roman"/>
          <w:sz w:val="24"/>
          <w:szCs w:val="24"/>
        </w:rPr>
        <w:t xml:space="preserve">tates </w:t>
      </w:r>
      <w:r>
        <w:rPr>
          <w:rFonts w:cs="Times New Roman"/>
          <w:sz w:val="24"/>
          <w:szCs w:val="24"/>
        </w:rPr>
        <w:t xml:space="preserve">(2015) </w:t>
      </w:r>
      <w:r w:rsidR="0029756F" w:rsidRPr="0029756F">
        <w:rPr>
          <w:rFonts w:cs="Times New Roman"/>
          <w:sz w:val="24"/>
          <w:szCs w:val="24"/>
        </w:rPr>
        <w:t xml:space="preserve">for description of </w:t>
      </w:r>
      <w:r>
        <w:rPr>
          <w:rFonts w:cs="Times New Roman"/>
          <w:sz w:val="24"/>
          <w:szCs w:val="24"/>
        </w:rPr>
        <w:t>A</w:t>
      </w:r>
      <w:r w:rsidR="0029756F" w:rsidRPr="0029756F">
        <w:rPr>
          <w:rFonts w:cs="Times New Roman"/>
          <w:sz w:val="24"/>
          <w:szCs w:val="24"/>
        </w:rPr>
        <w:t xml:space="preserve">chievement </w:t>
      </w:r>
      <w:r>
        <w:rPr>
          <w:rFonts w:cs="Times New Roman"/>
          <w:sz w:val="24"/>
          <w:szCs w:val="24"/>
        </w:rPr>
        <w:t>Districts</w:t>
      </w:r>
      <w:r w:rsidR="0029756F" w:rsidRPr="0029756F">
        <w:rPr>
          <w:rFonts w:cs="Times New Roman"/>
          <w:sz w:val="24"/>
          <w:szCs w:val="24"/>
        </w:rPr>
        <w:t xml:space="preserve"> and </w:t>
      </w:r>
      <w:r>
        <w:rPr>
          <w:rFonts w:cs="Times New Roman"/>
          <w:sz w:val="24"/>
          <w:szCs w:val="24"/>
        </w:rPr>
        <w:t>I-Zones</w:t>
      </w:r>
      <w:r w:rsidR="0029756F" w:rsidRPr="0029756F">
        <w:rPr>
          <w:rFonts w:cs="Times New Roman"/>
          <w:sz w:val="24"/>
          <w:szCs w:val="24"/>
        </w:rPr>
        <w:t>; David Kirp</w:t>
      </w:r>
      <w:r>
        <w:rPr>
          <w:rFonts w:cs="Times New Roman"/>
          <w:sz w:val="24"/>
          <w:szCs w:val="24"/>
        </w:rPr>
        <w:t xml:space="preserve"> (2013) for discussion of Union City, NJ; and </w:t>
      </w:r>
      <w:r w:rsidR="004F355C">
        <w:rPr>
          <w:rFonts w:cs="Times New Roman"/>
          <w:sz w:val="24"/>
          <w:szCs w:val="24"/>
        </w:rPr>
        <w:t>L</w:t>
      </w:r>
      <w:r w:rsidR="00D01353">
        <w:rPr>
          <w:rFonts w:cs="Times New Roman"/>
          <w:sz w:val="24"/>
          <w:szCs w:val="24"/>
        </w:rPr>
        <w:t xml:space="preserve">awrence Public Schools (2015) for description of Lawrence, MA. </w:t>
      </w:r>
    </w:p>
    <w:p w14:paraId="4DDC0F43" w14:textId="77777777" w:rsidR="0029756F" w:rsidRPr="0029756F" w:rsidRDefault="0029756F" w:rsidP="0029756F">
      <w:pPr>
        <w:ind w:left="1440"/>
        <w:contextualSpacing/>
        <w:rPr>
          <w:rFonts w:cs="Times New Roman"/>
          <w:sz w:val="24"/>
          <w:szCs w:val="24"/>
        </w:rPr>
      </w:pPr>
      <w:r w:rsidRPr="0029756F">
        <w:rPr>
          <w:rFonts w:cs="Times New Roman"/>
          <w:sz w:val="24"/>
          <w:szCs w:val="24"/>
        </w:rPr>
        <w:t>__________________________________________________________________</w:t>
      </w:r>
    </w:p>
    <w:p w14:paraId="0E4269D7" w14:textId="77777777" w:rsidR="0029756F" w:rsidRPr="0029756F" w:rsidRDefault="0029756F" w:rsidP="0029756F">
      <w:pPr>
        <w:rPr>
          <w:rFonts w:cs="Times New Roman"/>
          <w:sz w:val="24"/>
          <w:szCs w:val="24"/>
        </w:rPr>
      </w:pPr>
    </w:p>
    <w:p w14:paraId="459BF431" w14:textId="77777777" w:rsidR="00D8324C" w:rsidRDefault="00D8324C" w:rsidP="00D8324C">
      <w:pPr>
        <w:spacing w:after="160" w:line="259" w:lineRule="auto"/>
        <w:rPr>
          <w:rFonts w:ascii="Times New Roman" w:eastAsiaTheme="minorHAnsi" w:hAnsi="Times New Roman" w:cs="Times New Roman"/>
          <w:b/>
          <w:sz w:val="28"/>
          <w:szCs w:val="28"/>
        </w:rPr>
      </w:pPr>
    </w:p>
    <w:p w14:paraId="0AF3C7C7" w14:textId="33BB75DE" w:rsidR="00D8324C" w:rsidRDefault="00D8324C" w:rsidP="00D8324C">
      <w:pPr>
        <w:spacing w:after="160" w:line="259" w:lineRule="auto"/>
        <w:rPr>
          <w:rFonts w:ascii="Times New Roman" w:eastAsiaTheme="minorHAnsi" w:hAnsi="Times New Roman" w:cs="Times New Roman"/>
          <w:b/>
          <w:sz w:val="28"/>
          <w:szCs w:val="28"/>
        </w:rPr>
      </w:pPr>
      <w:r w:rsidRPr="00D8324C">
        <w:rPr>
          <w:rFonts w:ascii="Times New Roman" w:eastAsiaTheme="minorHAnsi" w:hAnsi="Times New Roman" w:cs="Times New Roman"/>
          <w:b/>
          <w:sz w:val="28"/>
          <w:szCs w:val="28"/>
        </w:rPr>
        <w:t>References (</w:t>
      </w:r>
      <w:r w:rsidR="0029756F">
        <w:rPr>
          <w:rFonts w:ascii="Times New Roman" w:eastAsiaTheme="minorHAnsi" w:hAnsi="Times New Roman" w:cs="Times New Roman"/>
          <w:b/>
          <w:sz w:val="28"/>
          <w:szCs w:val="28"/>
        </w:rPr>
        <w:t>mostly complete – a few more to add</w:t>
      </w:r>
      <w:r w:rsidRPr="00D8324C">
        <w:rPr>
          <w:rFonts w:ascii="Times New Roman" w:eastAsiaTheme="minorHAnsi" w:hAnsi="Times New Roman" w:cs="Times New Roman"/>
          <w:b/>
          <w:sz w:val="28"/>
          <w:szCs w:val="28"/>
        </w:rPr>
        <w:t xml:space="preserve">) </w:t>
      </w:r>
    </w:p>
    <w:p w14:paraId="7CCD8322" w14:textId="37853716" w:rsidR="00CA74D4" w:rsidRPr="002043C0" w:rsidRDefault="00CA74D4" w:rsidP="002043C0">
      <w:pPr>
        <w:spacing w:after="160" w:line="259" w:lineRule="auto"/>
        <w:rPr>
          <w:rFonts w:ascii="Times New Roman" w:eastAsiaTheme="minorHAnsi" w:hAnsi="Times New Roman" w:cs="Times New Roman"/>
          <w:sz w:val="24"/>
          <w:szCs w:val="24"/>
        </w:rPr>
      </w:pPr>
      <w:r w:rsidRPr="002043C0">
        <w:rPr>
          <w:rFonts w:ascii="Times New Roman" w:eastAsiaTheme="minorHAnsi" w:hAnsi="Times New Roman" w:cs="Times New Roman"/>
          <w:sz w:val="24"/>
          <w:szCs w:val="24"/>
        </w:rPr>
        <w:t>Beard, R</w:t>
      </w:r>
      <w:r w:rsidR="002043C0">
        <w:rPr>
          <w:rFonts w:ascii="Times New Roman" w:eastAsiaTheme="minorHAnsi" w:hAnsi="Times New Roman" w:cs="Times New Roman"/>
          <w:sz w:val="24"/>
          <w:szCs w:val="24"/>
        </w:rPr>
        <w:t xml:space="preserve">. 2000. </w:t>
      </w:r>
      <w:r w:rsidRPr="002043C0">
        <w:rPr>
          <w:rFonts w:ascii="Times New Roman" w:eastAsiaTheme="minorHAnsi" w:hAnsi="Times New Roman" w:cs="Times New Roman"/>
          <w:sz w:val="24"/>
          <w:szCs w:val="24"/>
        </w:rPr>
        <w:t xml:space="preserve"> Research and the National Literacy Strategy (2000), Oxford Review of Education, Volume 26, No. 3/4, pgs. 421-436, </w:t>
      </w:r>
      <w:hyperlink r:id="rId15" w:history="1">
        <w:r w:rsidRPr="002043C0">
          <w:rPr>
            <w:rFonts w:ascii="Times New Roman" w:eastAsiaTheme="minorHAnsi" w:hAnsi="Times New Roman" w:cs="Times New Roman"/>
            <w:sz w:val="24"/>
            <w:szCs w:val="24"/>
          </w:rPr>
          <w:t>http://eprints.ioe.ac.uk/1436/1/Beard2000ResearchandtheNational421.pdf</w:t>
        </w:r>
      </w:hyperlink>
      <w:r w:rsidRPr="002043C0">
        <w:rPr>
          <w:rFonts w:ascii="Times New Roman" w:eastAsiaTheme="minorHAnsi" w:hAnsi="Times New Roman" w:cs="Times New Roman"/>
          <w:sz w:val="24"/>
          <w:szCs w:val="24"/>
        </w:rPr>
        <w:t>, pg. 1</w:t>
      </w:r>
    </w:p>
    <w:p w14:paraId="4543C6E1" w14:textId="4EFF4F41" w:rsidR="00D8324C" w:rsidRPr="00DF2BC7" w:rsidRDefault="00D8324C" w:rsidP="00D8324C">
      <w:pPr>
        <w:spacing w:after="160" w:line="259" w:lineRule="auto"/>
        <w:rPr>
          <w:rFonts w:ascii="Times New Roman" w:eastAsiaTheme="minorHAnsi" w:hAnsi="Times New Roman" w:cs="Times New Roman"/>
          <w:i/>
          <w:sz w:val="24"/>
          <w:szCs w:val="24"/>
        </w:rPr>
      </w:pPr>
      <w:r w:rsidRPr="00D8324C">
        <w:rPr>
          <w:rFonts w:ascii="Times New Roman" w:eastAsiaTheme="minorHAnsi" w:hAnsi="Times New Roman" w:cs="Times New Roman"/>
          <w:sz w:val="24"/>
          <w:szCs w:val="24"/>
        </w:rPr>
        <w:t>Blanden, J., E. Greaves, P. Gregg, L.Macmillan, and L.Subieta.  2015.</w:t>
      </w:r>
      <w:r w:rsidR="00DF2BC7">
        <w:rPr>
          <w:rFonts w:ascii="Times New Roman" w:eastAsiaTheme="minorHAnsi" w:hAnsi="Times New Roman" w:cs="Times New Roman"/>
          <w:sz w:val="24"/>
          <w:szCs w:val="24"/>
        </w:rPr>
        <w:t xml:space="preserve"> “</w:t>
      </w:r>
      <w:r w:rsidRPr="00D8324C">
        <w:rPr>
          <w:rFonts w:ascii="Times New Roman" w:eastAsiaTheme="minorHAnsi" w:hAnsi="Times New Roman" w:cs="Times New Roman"/>
          <w:sz w:val="24"/>
          <w:szCs w:val="24"/>
        </w:rPr>
        <w:t>Understanding the improved performance of disadvantaged pupils in London</w:t>
      </w:r>
      <w:r w:rsidR="00DF2BC7">
        <w:rPr>
          <w:rFonts w:ascii="Times New Roman" w:eastAsiaTheme="minorHAnsi" w:hAnsi="Times New Roman" w:cs="Times New Roman"/>
          <w:sz w:val="24"/>
          <w:szCs w:val="24"/>
        </w:rPr>
        <w:t>”</w:t>
      </w:r>
      <w:r w:rsidRPr="00D8324C">
        <w:rPr>
          <w:rFonts w:ascii="Times New Roman" w:eastAsiaTheme="minorHAnsi" w:hAnsi="Times New Roman" w:cs="Times New Roman"/>
          <w:sz w:val="24"/>
          <w:szCs w:val="24"/>
        </w:rPr>
        <w:t xml:space="preserve">. Social Policy in a Cold Climate: working paper 21. (September)   </w:t>
      </w:r>
    </w:p>
    <w:p w14:paraId="02B34640" w14:textId="0962A0FC" w:rsidR="00DF2BC7" w:rsidRPr="0060754F" w:rsidRDefault="00DF2BC7" w:rsidP="00D8324C">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Boyle, A. and S. Humphreys. 2012. </w:t>
      </w:r>
      <w:r>
        <w:rPr>
          <w:rFonts w:ascii="Times New Roman" w:eastAsiaTheme="minorHAnsi" w:hAnsi="Times New Roman" w:cs="Times New Roman"/>
          <w:i/>
          <w:sz w:val="24"/>
          <w:szCs w:val="24"/>
        </w:rPr>
        <w:t>A Revolution in a De</w:t>
      </w:r>
      <w:r w:rsidR="0060754F">
        <w:rPr>
          <w:rFonts w:ascii="Times New Roman" w:eastAsiaTheme="minorHAnsi" w:hAnsi="Times New Roman" w:cs="Times New Roman"/>
          <w:i/>
          <w:sz w:val="24"/>
          <w:szCs w:val="24"/>
        </w:rPr>
        <w:t xml:space="preserve">cade: ten out of ten </w:t>
      </w:r>
      <w:r w:rsidR="0060754F">
        <w:rPr>
          <w:rFonts w:ascii="Times New Roman" w:eastAsiaTheme="minorHAnsi" w:hAnsi="Times New Roman" w:cs="Times New Roman"/>
          <w:sz w:val="24"/>
          <w:szCs w:val="24"/>
        </w:rPr>
        <w:t>London: Leannta Publishing.</w:t>
      </w:r>
    </w:p>
    <w:p w14:paraId="5431784F" w14:textId="77777777"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CfBT Education Trust. 2014. Lessons from London schools: Investigating the success. </w:t>
      </w:r>
    </w:p>
    <w:p w14:paraId="08E14EFC" w14:textId="77777777"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Cook, C. 2013.   “London schoolchildren perform the best”. </w:t>
      </w:r>
      <w:r w:rsidRPr="008A572E">
        <w:rPr>
          <w:rFonts w:ascii="Times New Roman" w:eastAsiaTheme="minorHAnsi" w:hAnsi="Times New Roman" w:cs="Times New Roman"/>
          <w:i/>
          <w:sz w:val="24"/>
          <w:szCs w:val="24"/>
        </w:rPr>
        <w:t>Financial Times</w:t>
      </w:r>
      <w:r w:rsidRPr="00D8324C">
        <w:rPr>
          <w:rFonts w:ascii="Times New Roman" w:eastAsiaTheme="minorHAnsi" w:hAnsi="Times New Roman" w:cs="Times New Roman"/>
          <w:sz w:val="24"/>
          <w:szCs w:val="24"/>
        </w:rPr>
        <w:t xml:space="preserve">, January 13,2013. </w:t>
      </w:r>
    </w:p>
    <w:p w14:paraId="469FDCAF" w14:textId="1E4F4BA5"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Burgess, S. 2014. </w:t>
      </w:r>
      <w:r w:rsidRPr="00D8324C">
        <w:rPr>
          <w:rFonts w:ascii="Times New Roman" w:eastAsiaTheme="minorHAnsi" w:hAnsi="Times New Roman" w:cs="Times New Roman"/>
          <w:i/>
          <w:iCs/>
          <w:sz w:val="24"/>
          <w:szCs w:val="24"/>
        </w:rPr>
        <w:t xml:space="preserve">Understanding the success of </w:t>
      </w:r>
      <w:r w:rsidR="00C217E0">
        <w:rPr>
          <w:rFonts w:ascii="Times New Roman" w:eastAsiaTheme="minorHAnsi" w:hAnsi="Times New Roman" w:cs="Times New Roman"/>
          <w:i/>
          <w:iCs/>
          <w:sz w:val="24"/>
          <w:szCs w:val="24"/>
        </w:rPr>
        <w:t>Lo</w:t>
      </w:r>
      <w:r w:rsidRPr="00D8324C">
        <w:rPr>
          <w:rFonts w:ascii="Times New Roman" w:eastAsiaTheme="minorHAnsi" w:hAnsi="Times New Roman" w:cs="Times New Roman"/>
          <w:i/>
          <w:iCs/>
          <w:sz w:val="24"/>
          <w:szCs w:val="24"/>
        </w:rPr>
        <w:t>ndon's schools</w:t>
      </w:r>
      <w:r w:rsidRPr="00D8324C">
        <w:rPr>
          <w:rFonts w:ascii="Times New Roman" w:eastAsiaTheme="minorHAnsi" w:hAnsi="Times New Roman" w:cs="Times New Roman"/>
          <w:sz w:val="24"/>
          <w:szCs w:val="24"/>
        </w:rPr>
        <w:t xml:space="preserve"> (Working Paper No. 14/333). University of Bristol: Center for Market and Public Organisation, University of Bristol.</w:t>
      </w:r>
    </w:p>
    <w:p w14:paraId="7DE1F5D2" w14:textId="77777777" w:rsidR="00D8324C" w:rsidRPr="00D8324C" w:rsidRDefault="00D8324C" w:rsidP="00D8324C">
      <w:pPr>
        <w:spacing w:after="160" w:line="259" w:lineRule="auto"/>
        <w:rPr>
          <w:rFonts w:ascii="Times New Roman" w:eastAsiaTheme="minorHAnsi" w:hAnsi="Times New Roman" w:cs="Times New Roman"/>
          <w:iCs/>
          <w:sz w:val="24"/>
          <w:szCs w:val="24"/>
        </w:rPr>
      </w:pPr>
      <w:r w:rsidRPr="00D8324C">
        <w:rPr>
          <w:rFonts w:ascii="Times New Roman" w:eastAsiaTheme="minorHAnsi" w:hAnsi="Times New Roman" w:cs="Times New Roman"/>
          <w:iCs/>
          <w:sz w:val="24"/>
          <w:szCs w:val="24"/>
        </w:rPr>
        <w:t xml:space="preserve">Education Commission of the States. 2015. </w:t>
      </w:r>
      <w:r w:rsidRPr="00D8324C">
        <w:rPr>
          <w:rFonts w:ascii="Times New Roman" w:eastAsiaTheme="minorHAnsi" w:hAnsi="Times New Roman" w:cs="Times New Roman"/>
          <w:i/>
          <w:iCs/>
          <w:sz w:val="24"/>
          <w:szCs w:val="24"/>
        </w:rPr>
        <w:t>Emerging State Turnaround Strategies</w:t>
      </w:r>
      <w:r w:rsidRPr="00D8324C">
        <w:rPr>
          <w:rFonts w:ascii="Times New Roman" w:eastAsiaTheme="minorHAnsi" w:hAnsi="Times New Roman" w:cs="Times New Roman"/>
          <w:iCs/>
          <w:sz w:val="24"/>
          <w:szCs w:val="24"/>
        </w:rPr>
        <w:t xml:space="preserve">. (October, 2015) </w:t>
      </w:r>
    </w:p>
    <w:p w14:paraId="60A067BB" w14:textId="0BF95AD3"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iCs/>
          <w:sz w:val="24"/>
          <w:szCs w:val="24"/>
        </w:rPr>
        <w:t xml:space="preserve">Every child matters. </w:t>
      </w:r>
      <w:r w:rsidRPr="00D8324C">
        <w:rPr>
          <w:rFonts w:ascii="Times New Roman" w:eastAsiaTheme="minorHAnsi" w:hAnsi="Times New Roman" w:cs="Times New Roman"/>
          <w:i/>
          <w:iCs/>
          <w:sz w:val="24"/>
          <w:szCs w:val="24"/>
        </w:rPr>
        <w:t xml:space="preserve">2003. Presented to Parliament by the Chief Secretary to the Treasury by Command of Her Majesty.  (September). </w:t>
      </w:r>
      <w:r w:rsidRPr="00D8324C">
        <w:rPr>
          <w:rFonts w:ascii="Times New Roman" w:eastAsiaTheme="minorHAnsi" w:hAnsi="Times New Roman" w:cs="Times New Roman"/>
          <w:sz w:val="24"/>
          <w:szCs w:val="24"/>
        </w:rPr>
        <w:t xml:space="preserve">  London: Chief Secretary to the Treasury.</w:t>
      </w:r>
    </w:p>
    <w:p w14:paraId="04B86740" w14:textId="77777777"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Fullan, M.  2014. </w:t>
      </w:r>
      <w:r w:rsidRPr="00D8324C">
        <w:rPr>
          <w:rFonts w:ascii="Times New Roman" w:eastAsiaTheme="minorHAnsi" w:hAnsi="Times New Roman" w:cs="Times New Roman"/>
          <w:i/>
          <w:sz w:val="24"/>
          <w:szCs w:val="24"/>
        </w:rPr>
        <w:t>Big City School Reforms: Lessons from New York, Toronto, and London.</w:t>
      </w:r>
      <w:r w:rsidRPr="00D8324C">
        <w:rPr>
          <w:rFonts w:ascii="Times New Roman" w:eastAsiaTheme="minorHAnsi" w:hAnsi="Times New Roman" w:cs="Times New Roman"/>
          <w:sz w:val="24"/>
          <w:szCs w:val="24"/>
        </w:rPr>
        <w:t xml:space="preserve">   Teachers College Press. </w:t>
      </w:r>
    </w:p>
    <w:p w14:paraId="315DAE75" w14:textId="77777777"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lastRenderedPageBreak/>
        <w:t xml:space="preserve">Gilbert, C. (no date) </w:t>
      </w:r>
      <w:r w:rsidRPr="00D8324C">
        <w:rPr>
          <w:rFonts w:ascii="Times New Roman" w:eastAsiaTheme="minorHAnsi" w:hAnsi="Times New Roman" w:cs="Times New Roman"/>
          <w:i/>
          <w:iCs/>
          <w:sz w:val="24"/>
          <w:szCs w:val="24"/>
        </w:rPr>
        <w:t>Turning around tower hamlets</w:t>
      </w:r>
      <w:r w:rsidRPr="00D8324C">
        <w:rPr>
          <w:rFonts w:ascii="Times New Roman" w:eastAsiaTheme="minorHAnsi" w:hAnsi="Times New Roman" w:cs="Times New Roman"/>
          <w:sz w:val="24"/>
          <w:szCs w:val="24"/>
        </w:rPr>
        <w:t xml:space="preserve"> London Councils.</w:t>
      </w:r>
    </w:p>
    <w:p w14:paraId="71FA9EC9" w14:textId="62F0F673" w:rsid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Greaves, E., L. Macmillan, and L. Subieta. 2014.  </w:t>
      </w:r>
      <w:r w:rsidRPr="00D8324C">
        <w:rPr>
          <w:rFonts w:ascii="Times New Roman" w:eastAsiaTheme="minorHAnsi" w:hAnsi="Times New Roman" w:cs="Times New Roman"/>
          <w:i/>
          <w:iCs/>
          <w:sz w:val="24"/>
          <w:szCs w:val="24"/>
        </w:rPr>
        <w:t>Lessons from London schools for attainment gaps and social mobility</w:t>
      </w:r>
      <w:r w:rsidRPr="00D8324C">
        <w:rPr>
          <w:rFonts w:ascii="Times New Roman" w:eastAsiaTheme="minorHAnsi" w:hAnsi="Times New Roman" w:cs="Times New Roman"/>
          <w:sz w:val="24"/>
          <w:szCs w:val="24"/>
        </w:rPr>
        <w:t xml:space="preserve">. Research Report. Social Mobility and Child Poverty Commission. (June) </w:t>
      </w:r>
    </w:p>
    <w:p w14:paraId="446BB5E2" w14:textId="79CC44F4" w:rsidR="00BF77BA" w:rsidRPr="00D8324C" w:rsidRDefault="00BF77BA" w:rsidP="00D8324C">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Hutchings, M</w:t>
      </w:r>
      <w:r w:rsidR="00D01353">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and A Mansaray. 2013. “A review of the Impact of the London Challenge (2003-2008) and the City Challenge (2008-11).” (Research paper for Ofsted’s ‘Access and Achievement in education, 2013, Review). Institute for Policy Studies in Education, London Metropolitan University. </w:t>
      </w:r>
      <w:r w:rsidRPr="00BF77BA">
        <w:rPr>
          <w:rFonts w:ascii="Times New Roman" w:hAnsi="Times New Roman" w:cs="Times New Roman"/>
          <w:sz w:val="24"/>
          <w:szCs w:val="24"/>
        </w:rPr>
        <w:t>www.ofsted.gov.uk/accessandachievement</w:t>
      </w:r>
    </w:p>
    <w:p w14:paraId="36AA6E85" w14:textId="5F3A8443" w:rsid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Jarrett, T. R. Long and D. Forster.  2015.  School funding: Pupil Premium.  House of Commons Library. Briefing paper, number 06700, 26 November. </w:t>
      </w:r>
    </w:p>
    <w:p w14:paraId="1DB2E2CD" w14:textId="3E29444C" w:rsidR="00D01353" w:rsidRDefault="00D01353" w:rsidP="00D8324C">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Kirp, D.L.2013.  </w:t>
      </w:r>
      <w:r>
        <w:rPr>
          <w:rFonts w:ascii="Times New Roman" w:eastAsiaTheme="minorHAnsi" w:hAnsi="Times New Roman" w:cs="Times New Roman"/>
          <w:i/>
          <w:sz w:val="24"/>
          <w:szCs w:val="24"/>
        </w:rPr>
        <w:t xml:space="preserve">Improbably Scholars. </w:t>
      </w:r>
      <w:r>
        <w:rPr>
          <w:rFonts w:ascii="Times New Roman" w:eastAsiaTheme="minorHAnsi" w:hAnsi="Times New Roman" w:cs="Times New Roman"/>
          <w:sz w:val="24"/>
          <w:szCs w:val="24"/>
        </w:rPr>
        <w:t xml:space="preserve"> Oxford University Press.</w:t>
      </w:r>
    </w:p>
    <w:p w14:paraId="502DE9E1" w14:textId="1C9BE406" w:rsidR="002604E2" w:rsidRDefault="002604E2" w:rsidP="00D8324C">
      <w:pPr>
        <w:spacing w:after="160" w:line="259" w:lineRule="auto"/>
        <w:rPr>
          <w:rFonts w:ascii="Times New Roman" w:eastAsiaTheme="minorHAnsi" w:hAnsi="Times New Roman" w:cs="Times New Roman"/>
          <w:sz w:val="24"/>
          <w:szCs w:val="24"/>
        </w:rPr>
      </w:pPr>
      <w:r w:rsidRPr="0063446F">
        <w:rPr>
          <w:rFonts w:ascii="Times New Roman" w:eastAsiaTheme="minorHAnsi" w:hAnsi="Times New Roman" w:cs="Times New Roman"/>
          <w:sz w:val="24"/>
          <w:szCs w:val="24"/>
        </w:rPr>
        <w:t>Klein,</w:t>
      </w:r>
      <w:r w:rsidR="00A8272F">
        <w:rPr>
          <w:rFonts w:ascii="Times New Roman" w:eastAsiaTheme="minorHAnsi" w:hAnsi="Times New Roman" w:cs="Times New Roman"/>
          <w:sz w:val="24"/>
          <w:szCs w:val="24"/>
        </w:rPr>
        <w:t xml:space="preserve">A. 2016.  “In School Turnaround Efforts, Massachusetts Enlists Districts”. </w:t>
      </w:r>
      <w:r w:rsidR="00A8272F" w:rsidRPr="00A8272F">
        <w:rPr>
          <w:rFonts w:ascii="Times New Roman" w:eastAsiaTheme="minorHAnsi" w:hAnsi="Times New Roman" w:cs="Times New Roman"/>
          <w:i/>
          <w:sz w:val="24"/>
          <w:szCs w:val="24"/>
        </w:rPr>
        <w:t>Education Week Quality Counts</w:t>
      </w:r>
      <w:r w:rsidR="00A8272F">
        <w:rPr>
          <w:rFonts w:ascii="Times New Roman" w:eastAsiaTheme="minorHAnsi" w:hAnsi="Times New Roman" w:cs="Times New Roman"/>
          <w:sz w:val="24"/>
          <w:szCs w:val="24"/>
        </w:rPr>
        <w:t xml:space="preserve">, Vol 35, no.16, January 6. </w:t>
      </w:r>
      <w:r>
        <w:rPr>
          <w:rFonts w:ascii="Times New Roman" w:eastAsiaTheme="minorHAnsi" w:hAnsi="Times New Roman" w:cs="Times New Roman"/>
          <w:sz w:val="24"/>
          <w:szCs w:val="24"/>
        </w:rPr>
        <w:t xml:space="preserve"> </w:t>
      </w:r>
    </w:p>
    <w:p w14:paraId="435EB491" w14:textId="77777777"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Ladd, H.F. and S. Loeb. 2013.  The Challenges of Measuring School quality. In D. Allen and R. Reich (eds), </w:t>
      </w:r>
      <w:r w:rsidRPr="00D8324C">
        <w:rPr>
          <w:rFonts w:ascii="Times New Roman" w:eastAsiaTheme="minorHAnsi" w:hAnsi="Times New Roman" w:cs="Times New Roman"/>
          <w:i/>
          <w:sz w:val="24"/>
          <w:szCs w:val="24"/>
        </w:rPr>
        <w:t>Justice &amp; Democracy</w:t>
      </w:r>
      <w:r w:rsidRPr="00D8324C">
        <w:rPr>
          <w:rFonts w:ascii="Times New Roman" w:eastAsiaTheme="minorHAnsi" w:hAnsi="Times New Roman" w:cs="Times New Roman"/>
          <w:sz w:val="24"/>
          <w:szCs w:val="24"/>
        </w:rPr>
        <w:t xml:space="preserve">. </w:t>
      </w:r>
    </w:p>
    <w:p w14:paraId="2341E6C2" w14:textId="77777777" w:rsid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Ladd, H.F. 2012. “Education and Poverty: Confronting the Evidence.”  </w:t>
      </w:r>
      <w:r w:rsidRPr="00D8324C">
        <w:rPr>
          <w:rFonts w:ascii="Times New Roman" w:eastAsiaTheme="minorHAnsi" w:hAnsi="Times New Roman" w:cs="Times New Roman"/>
          <w:i/>
          <w:sz w:val="24"/>
          <w:szCs w:val="24"/>
        </w:rPr>
        <w:t>Journal of Policy Analysis and Management.</w:t>
      </w:r>
      <w:r w:rsidRPr="00D8324C">
        <w:rPr>
          <w:rFonts w:ascii="Times New Roman" w:eastAsiaTheme="minorHAnsi" w:hAnsi="Times New Roman" w:cs="Times New Roman"/>
          <w:sz w:val="24"/>
          <w:szCs w:val="24"/>
        </w:rPr>
        <w:t xml:space="preserve"> (March) </w:t>
      </w:r>
    </w:p>
    <w:p w14:paraId="255D985A" w14:textId="2A6E5D24" w:rsidR="00D01353" w:rsidRPr="00D8324C" w:rsidRDefault="00D01353" w:rsidP="00D8324C">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Lawrence Public Schools. 2015. </w:t>
      </w:r>
      <w:r w:rsidRPr="00D01353">
        <w:rPr>
          <w:rFonts w:ascii="Times New Roman" w:eastAsiaTheme="minorHAnsi" w:hAnsi="Times New Roman" w:cs="Times New Roman"/>
          <w:i/>
          <w:sz w:val="24"/>
          <w:szCs w:val="24"/>
        </w:rPr>
        <w:t>LPS Turnaround &amp; Open Architecture Model</w:t>
      </w:r>
      <w:r>
        <w:rPr>
          <w:rFonts w:ascii="Times New Roman" w:eastAsiaTheme="minorHAnsi" w:hAnsi="Times New Roman" w:cs="Times New Roman"/>
          <w:sz w:val="24"/>
          <w:szCs w:val="24"/>
        </w:rPr>
        <w:t xml:space="preserve"> (11/21.2015) </w:t>
      </w:r>
    </w:p>
    <w:p w14:paraId="323E7047" w14:textId="77777777" w:rsid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Machin, S. “</w:t>
      </w:r>
      <w:r w:rsidRPr="00D8324C">
        <w:rPr>
          <w:rFonts w:ascii="Times New Roman" w:eastAsiaTheme="minorHAnsi" w:hAnsi="Times New Roman" w:cs="Times New Roman"/>
          <w:iCs/>
          <w:sz w:val="24"/>
          <w:szCs w:val="24"/>
        </w:rPr>
        <w:t>A note on academy school policy</w:t>
      </w:r>
      <w:r w:rsidRPr="00D8324C">
        <w:rPr>
          <w:rFonts w:ascii="Times New Roman" w:eastAsiaTheme="minorHAnsi" w:hAnsi="Times New Roman" w:cs="Times New Roman"/>
          <w:i/>
          <w:iCs/>
          <w:sz w:val="24"/>
          <w:szCs w:val="24"/>
        </w:rPr>
        <w:t xml:space="preserve">”. </w:t>
      </w:r>
      <w:r w:rsidRPr="00D8324C">
        <w:rPr>
          <w:rFonts w:ascii="Times New Roman" w:eastAsiaTheme="minorHAnsi" w:hAnsi="Times New Roman" w:cs="Times New Roman"/>
          <w:sz w:val="24"/>
          <w:szCs w:val="24"/>
        </w:rPr>
        <w:t>London School of Economics.</w:t>
      </w:r>
    </w:p>
    <w:p w14:paraId="2066186E" w14:textId="77777777" w:rsidR="00D8324C" w:rsidRPr="00D8324C" w:rsidRDefault="00D8324C" w:rsidP="00D8324C">
      <w:pPr>
        <w:spacing w:after="160" w:line="259" w:lineRule="auto"/>
        <w:rPr>
          <w:rFonts w:eastAsiaTheme="minorHAnsi"/>
          <w:sz w:val="28"/>
          <w:szCs w:val="28"/>
        </w:rPr>
      </w:pPr>
      <w:r w:rsidRPr="00D8324C">
        <w:rPr>
          <w:rFonts w:ascii="Times New Roman" w:eastAsiaTheme="minorHAnsi" w:hAnsi="Times New Roman" w:cs="Times New Roman"/>
          <w:sz w:val="24"/>
          <w:szCs w:val="24"/>
        </w:rPr>
        <w:t>Ofsted,1998. Inspection of Tower Hamlets Local Education Authority. Ofsted and the Audit Commission (September)</w:t>
      </w:r>
      <w:r w:rsidRPr="00D8324C">
        <w:rPr>
          <w:rFonts w:eastAsiaTheme="minorHAnsi"/>
        </w:rPr>
        <w:t xml:space="preserve"> </w:t>
      </w:r>
      <w:hyperlink r:id="rId16" w:history="1">
        <w:r w:rsidRPr="00D8324C">
          <w:rPr>
            <w:rFonts w:eastAsiaTheme="minorHAnsi"/>
            <w:color w:val="0563C1" w:themeColor="hyperlink"/>
            <w:sz w:val="28"/>
            <w:szCs w:val="28"/>
            <w:u w:val="single"/>
          </w:rPr>
          <w:t>http://reports.ofsted.gov.uk/sites/default/files/documents/local_authority_reports/tower_hamlets/022_Local%20Authority%20Inspection%20as%20pdf.pdf</w:t>
        </w:r>
      </w:hyperlink>
    </w:p>
    <w:p w14:paraId="07C3F620" w14:textId="77777777" w:rsidR="00D8324C" w:rsidRPr="00D8324C" w:rsidRDefault="00D8324C" w:rsidP="00D8324C">
      <w:pPr>
        <w:spacing w:after="160" w:line="259" w:lineRule="auto"/>
        <w:rPr>
          <w:rFonts w:eastAsiaTheme="minorHAnsi"/>
          <w:sz w:val="28"/>
          <w:szCs w:val="28"/>
        </w:rPr>
      </w:pPr>
      <w:r w:rsidRPr="00D8324C">
        <w:rPr>
          <w:rFonts w:ascii="Times New Roman" w:eastAsiaTheme="minorHAnsi" w:hAnsi="Times New Roman" w:cs="Times New Roman"/>
          <w:sz w:val="24"/>
          <w:szCs w:val="24"/>
        </w:rPr>
        <w:t xml:space="preserve">Ofsted,2000. Inspection of Tower Hamlests Local Education Authority Ofsted and the Audit Commission (June)  </w:t>
      </w:r>
      <w:hyperlink r:id="rId17" w:history="1">
        <w:r w:rsidRPr="00D8324C">
          <w:rPr>
            <w:rFonts w:eastAsiaTheme="minorHAnsi"/>
            <w:color w:val="0563C1" w:themeColor="hyperlink"/>
            <w:sz w:val="28"/>
            <w:szCs w:val="28"/>
            <w:u w:val="single"/>
          </w:rPr>
          <w:t>http://reports.ofsted.gov.uk/sites/default/files/documents/local_authority_reports/tower_hamlets/009_Local%20Authority%20Inspection%20as%20pdf.pdf</w:t>
        </w:r>
      </w:hyperlink>
    </w:p>
    <w:p w14:paraId="03C5EC04" w14:textId="77777777" w:rsidR="00D8324C" w:rsidRPr="00D8324C" w:rsidRDefault="00D8324C" w:rsidP="00D8324C">
      <w:pPr>
        <w:spacing w:after="160" w:line="259" w:lineRule="auto"/>
        <w:rPr>
          <w:rFonts w:eastAsiaTheme="minorHAnsi"/>
          <w:sz w:val="24"/>
          <w:szCs w:val="24"/>
        </w:rPr>
      </w:pPr>
      <w:r w:rsidRPr="00D8324C">
        <w:rPr>
          <w:rFonts w:ascii="Times New Roman" w:eastAsiaTheme="minorHAnsi" w:hAnsi="Times New Roman" w:cs="Times New Roman"/>
          <w:sz w:val="24"/>
          <w:szCs w:val="24"/>
        </w:rPr>
        <w:t xml:space="preserve">Ofsted, 2003. Inspection report Hackney Local Education Authority. Ofsted and the Audit Commission (September) </w:t>
      </w:r>
      <w:hyperlink r:id="rId18" w:history="1">
        <w:r w:rsidRPr="00D8324C">
          <w:rPr>
            <w:rFonts w:eastAsiaTheme="minorHAnsi"/>
            <w:color w:val="0563C1" w:themeColor="hyperlink"/>
            <w:sz w:val="24"/>
            <w:szCs w:val="24"/>
            <w:u w:val="single"/>
          </w:rPr>
          <w:t>http://www1.learningtrust.co.uk/news_and_events/docs/OFSTED_report03.pdf</w:t>
        </w:r>
      </w:hyperlink>
    </w:p>
    <w:p w14:paraId="118DA888" w14:textId="7977C451" w:rsidR="00D8324C" w:rsidRPr="00D8324C" w:rsidRDefault="00D8324C" w:rsidP="00DF2BC7">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Ofsted (2010). </w:t>
      </w:r>
      <w:r w:rsidRPr="00D8324C">
        <w:rPr>
          <w:rFonts w:ascii="Times New Roman" w:eastAsiaTheme="minorHAnsi" w:hAnsi="Times New Roman" w:cs="Times New Roman"/>
          <w:i/>
          <w:iCs/>
          <w:sz w:val="24"/>
          <w:szCs w:val="24"/>
        </w:rPr>
        <w:t xml:space="preserve">London challenge – </w:t>
      </w:r>
      <w:r w:rsidRPr="00D8324C">
        <w:rPr>
          <w:rFonts w:ascii="Times New Roman" w:eastAsiaTheme="minorHAnsi" w:hAnsi="Times New Roman" w:cs="Times New Roman"/>
          <w:iCs/>
          <w:sz w:val="24"/>
          <w:szCs w:val="24"/>
        </w:rPr>
        <w:t>Ofsted</w:t>
      </w:r>
      <w:r w:rsidRPr="00D8324C">
        <w:rPr>
          <w:rFonts w:ascii="Times New Roman" w:eastAsiaTheme="minorHAnsi" w:hAnsi="Times New Roman" w:cs="Times New Roman"/>
          <w:i/>
          <w:iCs/>
          <w:sz w:val="24"/>
          <w:szCs w:val="24"/>
        </w:rPr>
        <w:t xml:space="preserve"> (</w:t>
      </w:r>
      <w:r w:rsidR="00DF2BC7">
        <w:rPr>
          <w:rFonts w:ascii="Times New Roman" w:eastAsiaTheme="minorHAnsi" w:hAnsi="Times New Roman" w:cs="Times New Roman"/>
          <w:i/>
          <w:iCs/>
          <w:sz w:val="24"/>
          <w:szCs w:val="24"/>
        </w:rPr>
        <w:t xml:space="preserve"> </w:t>
      </w:r>
      <w:r w:rsidRPr="00D8324C">
        <w:rPr>
          <w:rFonts w:ascii="Times New Roman" w:eastAsiaTheme="minorHAnsi" w:hAnsi="Times New Roman" w:cs="Times New Roman"/>
          <w:sz w:val="24"/>
          <w:szCs w:val="24"/>
        </w:rPr>
        <w:t>(2014).  United Kingdom: Ofsted.</w:t>
      </w:r>
    </w:p>
    <w:p w14:paraId="02873576" w14:textId="42CF6BFB" w:rsidR="00D8324C" w:rsidRPr="00D8324C" w:rsidRDefault="00D8324C" w:rsidP="00D8324C">
      <w:pPr>
        <w:spacing w:after="160" w:line="259" w:lineRule="auto"/>
        <w:rPr>
          <w:rFonts w:ascii="Times New Roman" w:eastAsiaTheme="minorHAnsi" w:hAnsi="Times New Roman" w:cs="Times New Roman"/>
          <w:i/>
          <w:iCs/>
          <w:sz w:val="24"/>
          <w:szCs w:val="24"/>
        </w:rPr>
      </w:pPr>
      <w:r w:rsidRPr="00D8324C">
        <w:rPr>
          <w:rFonts w:ascii="Times New Roman" w:eastAsiaTheme="minorHAnsi" w:hAnsi="Times New Roman" w:cs="Times New Roman"/>
          <w:sz w:val="24"/>
          <w:szCs w:val="24"/>
        </w:rPr>
        <w:t xml:space="preserve">Ofsted.  2013. Unseen children: educational access and achievement 20 years on. Evidence report.  </w:t>
      </w:r>
    </w:p>
    <w:p w14:paraId="181AB15B" w14:textId="3A086BE8" w:rsid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lastRenderedPageBreak/>
        <w:t>Machin, S., &amp; McNally,</w:t>
      </w:r>
      <w:r w:rsidR="00CD37B8">
        <w:rPr>
          <w:rFonts w:ascii="Times New Roman" w:eastAsiaTheme="minorHAnsi" w:hAnsi="Times New Roman" w:cs="Times New Roman"/>
          <w:sz w:val="24"/>
          <w:szCs w:val="24"/>
        </w:rPr>
        <w:t xml:space="preserve"> S. (2012). The evaluation of E</w:t>
      </w:r>
      <w:r w:rsidRPr="00D8324C">
        <w:rPr>
          <w:rFonts w:ascii="Times New Roman" w:eastAsiaTheme="minorHAnsi" w:hAnsi="Times New Roman" w:cs="Times New Roman"/>
          <w:sz w:val="24"/>
          <w:szCs w:val="24"/>
        </w:rPr>
        <w:t>nglish education policies.</w:t>
      </w:r>
      <w:r w:rsidRPr="00D8324C">
        <w:rPr>
          <w:rFonts w:ascii="Times New Roman" w:eastAsiaTheme="minorHAnsi" w:hAnsi="Times New Roman" w:cs="Times New Roman"/>
          <w:i/>
          <w:iCs/>
          <w:sz w:val="24"/>
          <w:szCs w:val="24"/>
        </w:rPr>
        <w:t xml:space="preserve"> National Institute Economic Review, 219</w:t>
      </w:r>
      <w:r w:rsidRPr="00D8324C">
        <w:rPr>
          <w:rFonts w:ascii="Times New Roman" w:eastAsiaTheme="minorHAnsi" w:hAnsi="Times New Roman" w:cs="Times New Roman"/>
          <w:sz w:val="24"/>
          <w:szCs w:val="24"/>
        </w:rPr>
        <w:t>(1), R15-R25. doi:10.1177/002795011221900103</w:t>
      </w:r>
    </w:p>
    <w:p w14:paraId="5C0FFA67" w14:textId="15663B52" w:rsidR="00C763B9" w:rsidRPr="00D8324C" w:rsidRDefault="00C763B9" w:rsidP="00D8324C">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Machin, S. and J. Vernoir. 2010.  CEP Briefing.  A Note on Academy School Policy (July). </w:t>
      </w:r>
    </w:p>
    <w:p w14:paraId="5312C075" w14:textId="77777777"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LEASIS  Local Education Authority School Information Service (LEASIS) </w:t>
      </w:r>
    </w:p>
    <w:p w14:paraId="116E3587" w14:textId="77777777" w:rsidR="00D8324C" w:rsidRPr="00D8324C" w:rsidRDefault="00D8324C" w:rsidP="00D8324C">
      <w:pPr>
        <w:spacing w:after="160" w:line="259" w:lineRule="auto"/>
        <w:rPr>
          <w:rFonts w:ascii="Times New Roman" w:eastAsiaTheme="minorHAnsi" w:hAnsi="Times New Roman" w:cs="Times New Roman"/>
          <w:i/>
          <w:iCs/>
          <w:sz w:val="24"/>
          <w:szCs w:val="24"/>
        </w:rPr>
      </w:pPr>
      <w:r w:rsidRPr="00D8324C">
        <w:rPr>
          <w:rFonts w:ascii="Times New Roman" w:eastAsiaTheme="minorHAnsi" w:hAnsi="Times New Roman" w:cs="Times New Roman"/>
          <w:sz w:val="24"/>
          <w:szCs w:val="24"/>
        </w:rPr>
        <w:t xml:space="preserve">Ofsted  (2010). </w:t>
      </w:r>
      <w:r w:rsidRPr="00D8324C">
        <w:rPr>
          <w:rFonts w:ascii="Times New Roman" w:eastAsiaTheme="minorHAnsi" w:hAnsi="Times New Roman" w:cs="Times New Roman"/>
          <w:i/>
          <w:iCs/>
          <w:sz w:val="24"/>
          <w:szCs w:val="24"/>
        </w:rPr>
        <w:t>London challenge – OFSTED</w:t>
      </w:r>
    </w:p>
    <w:p w14:paraId="4C083A88" w14:textId="3F367D3A" w:rsidR="00D8324C" w:rsidRPr="00D8324C" w:rsidRDefault="00D8324C" w:rsidP="00D8324C">
      <w:pPr>
        <w:spacing w:after="160" w:line="259" w:lineRule="auto"/>
        <w:rPr>
          <w:rFonts w:ascii="Times New Roman" w:eastAsiaTheme="minorHAnsi" w:hAnsi="Times New Roman" w:cs="Times New Roman"/>
          <w:b/>
          <w:sz w:val="24"/>
          <w:szCs w:val="24"/>
        </w:rPr>
      </w:pPr>
      <w:r w:rsidRPr="00D8324C">
        <w:rPr>
          <w:rFonts w:ascii="Times New Roman" w:eastAsiaTheme="minorHAnsi" w:hAnsi="Times New Roman" w:cs="Times New Roman"/>
          <w:i/>
          <w:iCs/>
          <w:sz w:val="24"/>
          <w:szCs w:val="24"/>
        </w:rPr>
        <w:t xml:space="preserve">Ofsted. Unseen children: Access and achievement 20 years on. </w:t>
      </w:r>
      <w:r w:rsidRPr="00D8324C">
        <w:rPr>
          <w:rFonts w:ascii="Times New Roman" w:eastAsiaTheme="minorHAnsi" w:hAnsi="Times New Roman" w:cs="Times New Roman"/>
          <w:sz w:val="24"/>
          <w:szCs w:val="24"/>
        </w:rPr>
        <w:t>Ofst</w:t>
      </w:r>
      <w:r w:rsidR="00163FA4">
        <w:rPr>
          <w:rFonts w:ascii="Times New Roman" w:eastAsiaTheme="minorHAnsi" w:hAnsi="Times New Roman" w:cs="Times New Roman"/>
          <w:sz w:val="24"/>
          <w:szCs w:val="24"/>
        </w:rPr>
        <w:t>ed</w:t>
      </w:r>
      <w:r w:rsidRPr="00D8324C">
        <w:rPr>
          <w:rFonts w:ascii="Times New Roman" w:eastAsiaTheme="minorHAnsi" w:hAnsi="Times New Roman" w:cs="Times New Roman"/>
          <w:sz w:val="24"/>
          <w:szCs w:val="24"/>
        </w:rPr>
        <w:t xml:space="preserve"> Report.</w:t>
      </w:r>
    </w:p>
    <w:p w14:paraId="72BA5FF9" w14:textId="06D6674A" w:rsid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Subieta, Luke. 2015, The distribution of school funding and inputs in England, 1993-2013. Institute of Fiscal Studies Working Paper. W15/10</w:t>
      </w:r>
      <w:r w:rsidR="0060754F">
        <w:rPr>
          <w:rFonts w:ascii="Times New Roman" w:eastAsiaTheme="minorHAnsi" w:hAnsi="Times New Roman" w:cs="Times New Roman"/>
          <w:sz w:val="24"/>
          <w:szCs w:val="24"/>
        </w:rPr>
        <w:t>.</w:t>
      </w:r>
    </w:p>
    <w:p w14:paraId="27C68B30" w14:textId="70206417" w:rsidR="0060754F" w:rsidRPr="0060754F" w:rsidRDefault="0060754F" w:rsidP="00D8324C">
      <w:pPr>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The Learning Trust. 2012. </w:t>
      </w:r>
      <w:r w:rsidRPr="0060754F">
        <w:rPr>
          <w:rFonts w:ascii="Times New Roman" w:eastAsiaTheme="minorHAnsi" w:hAnsi="Times New Roman" w:cs="Times New Roman"/>
          <w:i/>
          <w:sz w:val="24"/>
          <w:szCs w:val="24"/>
        </w:rPr>
        <w:t>10 Years Transforming Education in Hackney</w:t>
      </w:r>
      <w:r>
        <w:rPr>
          <w:rFonts w:ascii="Times New Roman" w:eastAsiaTheme="minorHAnsi" w:hAnsi="Times New Roman" w:cs="Times New Roman"/>
          <w:i/>
          <w:sz w:val="24"/>
          <w:szCs w:val="24"/>
        </w:rPr>
        <w:t xml:space="preserve">. </w:t>
      </w:r>
      <w:r w:rsidRPr="0060754F">
        <w:rPr>
          <w:rFonts w:ascii="Times New Roman" w:eastAsiaTheme="minorHAnsi" w:hAnsi="Times New Roman" w:cs="Times New Roman"/>
          <w:sz w:val="24"/>
          <w:szCs w:val="24"/>
        </w:rPr>
        <w:t>London:</w:t>
      </w:r>
      <w:r w:rsidR="00CD37B8">
        <w:rPr>
          <w:rFonts w:ascii="Times New Roman" w:eastAsiaTheme="minorHAnsi" w:hAnsi="Times New Roman" w:cs="Times New Roman"/>
          <w:sz w:val="24"/>
          <w:szCs w:val="24"/>
        </w:rPr>
        <w:t xml:space="preserve"> </w:t>
      </w:r>
      <w:r w:rsidRPr="0060754F">
        <w:rPr>
          <w:rFonts w:ascii="Times New Roman" w:eastAsiaTheme="minorHAnsi" w:hAnsi="Times New Roman" w:cs="Times New Roman"/>
          <w:sz w:val="24"/>
          <w:szCs w:val="24"/>
        </w:rPr>
        <w:t xml:space="preserve">The Learning Trust. </w:t>
      </w:r>
    </w:p>
    <w:p w14:paraId="7300DB39" w14:textId="61D59822" w:rsidR="00D8324C" w:rsidRPr="00D8324C" w:rsidRDefault="00D8324C" w:rsidP="00D8324C">
      <w:pPr>
        <w:spacing w:after="160" w:line="259" w:lineRule="auto"/>
        <w:rPr>
          <w:rFonts w:ascii="Times New Roman" w:eastAsiaTheme="minorHAnsi" w:hAnsi="Times New Roman" w:cs="Times New Roman"/>
          <w:sz w:val="24"/>
          <w:szCs w:val="24"/>
        </w:rPr>
      </w:pPr>
      <w:r w:rsidRPr="00C217E0">
        <w:rPr>
          <w:rFonts w:ascii="Times New Roman" w:eastAsiaTheme="minorHAnsi" w:hAnsi="Times New Roman" w:cs="Times New Roman"/>
          <w:sz w:val="24"/>
          <w:szCs w:val="24"/>
        </w:rPr>
        <w:t>Trial by J</w:t>
      </w:r>
      <w:r w:rsidR="00C217E0" w:rsidRPr="00C217E0">
        <w:rPr>
          <w:rFonts w:ascii="Times New Roman" w:eastAsiaTheme="minorHAnsi" w:hAnsi="Times New Roman" w:cs="Times New Roman"/>
          <w:sz w:val="24"/>
          <w:szCs w:val="24"/>
        </w:rPr>
        <w:t>eo</w:t>
      </w:r>
      <w:r w:rsidRPr="00C217E0">
        <w:rPr>
          <w:rFonts w:ascii="Times New Roman" w:eastAsiaTheme="minorHAnsi" w:hAnsi="Times New Roman" w:cs="Times New Roman"/>
          <w:sz w:val="24"/>
          <w:szCs w:val="24"/>
        </w:rPr>
        <w:t xml:space="preserve">ry. </w:t>
      </w:r>
      <w:r w:rsidR="00C217E0" w:rsidRPr="00C217E0">
        <w:rPr>
          <w:rFonts w:ascii="Times New Roman" w:eastAsiaTheme="minorHAnsi" w:hAnsi="Times New Roman" w:cs="Times New Roman"/>
          <w:sz w:val="24"/>
          <w:szCs w:val="24"/>
        </w:rPr>
        <w:t>2011. “2011 census: Bengalies now largest group in Tower Hamlets.</w:t>
      </w:r>
      <w:r w:rsidR="00163FA4">
        <w:rPr>
          <w:rFonts w:ascii="Times New Roman" w:eastAsiaTheme="minorHAnsi" w:hAnsi="Times New Roman" w:cs="Times New Roman"/>
          <w:sz w:val="24"/>
          <w:szCs w:val="24"/>
        </w:rPr>
        <w:t xml:space="preserve"> </w:t>
      </w:r>
      <w:r w:rsidR="00C217E0" w:rsidRPr="00C217E0">
        <w:rPr>
          <w:rFonts w:ascii="Times New Roman" w:eastAsiaTheme="minorHAnsi" w:hAnsi="Times New Roman" w:cs="Times New Roman"/>
          <w:sz w:val="24"/>
          <w:szCs w:val="24"/>
        </w:rPr>
        <w:t>(</w:t>
      </w:r>
      <w:r w:rsidR="008A572E" w:rsidRPr="00C217E0">
        <w:rPr>
          <w:rFonts w:ascii="Times New Roman" w:eastAsiaTheme="minorHAnsi" w:hAnsi="Times New Roman" w:cs="Times New Roman"/>
          <w:sz w:val="24"/>
          <w:szCs w:val="24"/>
        </w:rPr>
        <w:t xml:space="preserve">A </w:t>
      </w:r>
      <w:r w:rsidR="00C217E0" w:rsidRPr="00C217E0">
        <w:rPr>
          <w:rFonts w:ascii="Times New Roman" w:eastAsiaTheme="minorHAnsi" w:hAnsi="Times New Roman" w:cs="Times New Roman"/>
          <w:sz w:val="24"/>
          <w:szCs w:val="24"/>
        </w:rPr>
        <w:t xml:space="preserve">personal blog by Ted Jeory formerly the author of a weekly column </w:t>
      </w:r>
      <w:r w:rsidR="008A572E" w:rsidRPr="00C217E0">
        <w:rPr>
          <w:rFonts w:ascii="Times New Roman" w:eastAsiaTheme="minorHAnsi" w:hAnsi="Times New Roman" w:cs="Times New Roman"/>
          <w:sz w:val="24"/>
          <w:szCs w:val="24"/>
        </w:rPr>
        <w:t>for the East London Advertiser</w:t>
      </w:r>
      <w:r w:rsidR="00C217E0" w:rsidRPr="00C217E0">
        <w:rPr>
          <w:rFonts w:ascii="Times New Roman" w:eastAsiaTheme="minorHAnsi" w:hAnsi="Times New Roman" w:cs="Times New Roman"/>
          <w:sz w:val="24"/>
          <w:szCs w:val="24"/>
        </w:rPr>
        <w:t>)</w:t>
      </w:r>
      <w:r w:rsidR="008A572E" w:rsidRPr="00C217E0">
        <w:rPr>
          <w:rFonts w:ascii="Times New Roman" w:eastAsiaTheme="minorHAnsi" w:hAnsi="Times New Roman" w:cs="Times New Roman"/>
          <w:sz w:val="24"/>
          <w:szCs w:val="24"/>
        </w:rPr>
        <w:t>.</w:t>
      </w:r>
      <w:r w:rsidR="008A572E">
        <w:rPr>
          <w:rFonts w:ascii="Times New Roman" w:eastAsiaTheme="minorHAnsi" w:hAnsi="Times New Roman" w:cs="Times New Roman"/>
          <w:sz w:val="24"/>
          <w:szCs w:val="24"/>
        </w:rPr>
        <w:t xml:space="preserve"> </w:t>
      </w:r>
      <w:r w:rsidR="00C217E0">
        <w:rPr>
          <w:rFonts w:ascii="Times New Roman" w:eastAsiaTheme="minorHAnsi" w:hAnsi="Times New Roman" w:cs="Times New Roman"/>
          <w:sz w:val="24"/>
          <w:szCs w:val="24"/>
        </w:rPr>
        <w:t xml:space="preserve"> </w:t>
      </w:r>
      <w:r w:rsidR="00C217E0" w:rsidRPr="00C217E0">
        <w:rPr>
          <w:rFonts w:ascii="Times New Roman" w:eastAsiaTheme="minorHAnsi" w:hAnsi="Times New Roman" w:cs="Times New Roman"/>
          <w:sz w:val="24"/>
          <w:szCs w:val="24"/>
        </w:rPr>
        <w:t>http://trialbyjeory.com/2012/12/11/2011-census-bengalis-now-largest-group-in-tower-hamlets-but-theres-a-but/</w:t>
      </w:r>
    </w:p>
    <w:p w14:paraId="02E71F02" w14:textId="349AF99B" w:rsidR="00D8324C" w:rsidRPr="00D8324C" w:rsidRDefault="00D8324C" w:rsidP="00D8324C">
      <w:pPr>
        <w:spacing w:after="160" w:line="259" w:lineRule="auto"/>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Woods,</w:t>
      </w:r>
      <w:r w:rsidR="00163FA4">
        <w:rPr>
          <w:rFonts w:ascii="Times New Roman" w:eastAsiaTheme="minorHAnsi" w:hAnsi="Times New Roman" w:cs="Times New Roman"/>
          <w:sz w:val="24"/>
          <w:szCs w:val="24"/>
        </w:rPr>
        <w:t xml:space="preserve"> </w:t>
      </w:r>
      <w:r w:rsidRPr="00D8324C">
        <w:rPr>
          <w:rFonts w:ascii="Times New Roman" w:eastAsiaTheme="minorHAnsi" w:hAnsi="Times New Roman" w:cs="Times New Roman"/>
          <w:sz w:val="24"/>
          <w:szCs w:val="24"/>
        </w:rPr>
        <w:t xml:space="preserve">D., C. Husbands, and C. Brown. 2013.  </w:t>
      </w:r>
      <w:r w:rsidRPr="00D8324C">
        <w:rPr>
          <w:rFonts w:ascii="Times New Roman" w:eastAsiaTheme="minorHAnsi" w:hAnsi="Times New Roman" w:cs="Times New Roman"/>
          <w:i/>
          <w:sz w:val="24"/>
          <w:szCs w:val="24"/>
        </w:rPr>
        <w:t>Transforming Education for All: The Tower Hamlets Story</w:t>
      </w:r>
      <w:r w:rsidRPr="00D8324C">
        <w:rPr>
          <w:rFonts w:ascii="Times New Roman" w:eastAsiaTheme="minorHAnsi" w:hAnsi="Times New Roman" w:cs="Times New Roman"/>
          <w:sz w:val="24"/>
          <w:szCs w:val="24"/>
        </w:rPr>
        <w:t xml:space="preserve">. </w:t>
      </w:r>
      <w:r w:rsidR="0038619D">
        <w:rPr>
          <w:rFonts w:ascii="Times New Roman" w:eastAsiaTheme="minorHAnsi" w:hAnsi="Times New Roman" w:cs="Times New Roman"/>
          <w:sz w:val="24"/>
          <w:szCs w:val="24"/>
        </w:rPr>
        <w:t xml:space="preserve">London: </w:t>
      </w:r>
      <w:r w:rsidRPr="00D8324C">
        <w:rPr>
          <w:rFonts w:ascii="Times New Roman" w:eastAsiaTheme="minorHAnsi" w:hAnsi="Times New Roman" w:cs="Times New Roman"/>
          <w:sz w:val="24"/>
          <w:szCs w:val="24"/>
        </w:rPr>
        <w:t xml:space="preserve">Mayor </w:t>
      </w:r>
      <w:r w:rsidR="00C763B9">
        <w:rPr>
          <w:rFonts w:ascii="Times New Roman" w:eastAsiaTheme="minorHAnsi" w:hAnsi="Times New Roman" w:cs="Times New Roman"/>
          <w:sz w:val="24"/>
          <w:szCs w:val="24"/>
        </w:rPr>
        <w:t>o</w:t>
      </w:r>
      <w:r w:rsidR="0038619D">
        <w:rPr>
          <w:rFonts w:ascii="Times New Roman" w:eastAsiaTheme="minorHAnsi" w:hAnsi="Times New Roman" w:cs="Times New Roman"/>
          <w:sz w:val="24"/>
          <w:szCs w:val="24"/>
        </w:rPr>
        <w:t>f</w:t>
      </w:r>
      <w:r w:rsidRPr="00D8324C">
        <w:rPr>
          <w:rFonts w:ascii="Times New Roman" w:eastAsiaTheme="minorHAnsi" w:hAnsi="Times New Roman" w:cs="Times New Roman"/>
          <w:sz w:val="24"/>
          <w:szCs w:val="24"/>
        </w:rPr>
        <w:t xml:space="preserve"> Tower Hamlets. (November)  </w:t>
      </w:r>
    </w:p>
    <w:p w14:paraId="779D4898" w14:textId="77777777" w:rsidR="00D8324C" w:rsidRPr="00D8324C" w:rsidRDefault="00D8324C" w:rsidP="00D8324C">
      <w:pPr>
        <w:spacing w:after="160" w:line="259" w:lineRule="auto"/>
        <w:rPr>
          <w:rFonts w:ascii="Times New Roman" w:eastAsiaTheme="minorHAnsi" w:hAnsi="Times New Roman" w:cs="Times New Roman"/>
          <w:sz w:val="24"/>
          <w:szCs w:val="24"/>
        </w:rPr>
      </w:pPr>
    </w:p>
    <w:p w14:paraId="67F6EA40" w14:textId="20932669" w:rsidR="00D8324C" w:rsidRPr="00D8324C" w:rsidRDefault="00C217E0" w:rsidP="00D8324C">
      <w:pPr>
        <w:spacing w:after="160" w:line="259" w:lineRule="auto"/>
        <w:contextualSpacing/>
        <w:rPr>
          <w:rFonts w:ascii="Times New Roman" w:eastAsiaTheme="minorHAnsi" w:hAnsi="Times New Roman" w:cs="Times New Roman"/>
          <w:b/>
        </w:rPr>
      </w:pPr>
      <w:r>
        <w:rPr>
          <w:rFonts w:ascii="Times New Roman" w:eastAsiaTheme="minorHAnsi" w:hAnsi="Times New Roman" w:cs="Times New Roman"/>
          <w:b/>
          <w:sz w:val="28"/>
          <w:szCs w:val="28"/>
        </w:rPr>
        <w:br/>
      </w:r>
      <w:r w:rsidR="00D8324C" w:rsidRPr="00D8324C">
        <w:rPr>
          <w:rFonts w:ascii="Times New Roman" w:eastAsiaTheme="minorHAnsi" w:hAnsi="Times New Roman" w:cs="Times New Roman"/>
          <w:b/>
          <w:sz w:val="28"/>
          <w:szCs w:val="28"/>
        </w:rPr>
        <w:t>Interviews</w:t>
      </w:r>
      <w:r w:rsidR="00D8324C" w:rsidRPr="00D8324C">
        <w:rPr>
          <w:rFonts w:ascii="Times New Roman" w:eastAsiaTheme="minorHAnsi" w:hAnsi="Times New Roman" w:cs="Times New Roman"/>
          <w:b/>
        </w:rPr>
        <w:t xml:space="preserve">. </w:t>
      </w:r>
      <w:r w:rsidR="008A572E">
        <w:rPr>
          <w:rFonts w:ascii="Times New Roman" w:eastAsiaTheme="minorHAnsi" w:hAnsi="Times New Roman" w:cs="Times New Roman"/>
          <w:b/>
        </w:rPr>
        <w:t xml:space="preserve"> </w:t>
      </w:r>
      <w:r w:rsidR="006127A1">
        <w:rPr>
          <w:rFonts w:ascii="Times New Roman" w:eastAsiaTheme="minorHAnsi" w:hAnsi="Times New Roman" w:cs="Times New Roman"/>
          <w:b/>
        </w:rPr>
        <w:t>All of these interviews were conducted in October 2015 unless noted</w:t>
      </w:r>
      <w:r w:rsidR="008A572E">
        <w:rPr>
          <w:rFonts w:ascii="Times New Roman" w:eastAsiaTheme="minorHAnsi" w:hAnsi="Times New Roman" w:cs="Times New Roman"/>
          <w:b/>
        </w:rPr>
        <w:t xml:space="preserve"> </w:t>
      </w:r>
    </w:p>
    <w:p w14:paraId="068593E9" w14:textId="77777777" w:rsidR="00D8324C" w:rsidRPr="00D8324C" w:rsidRDefault="00D8324C" w:rsidP="00D8324C">
      <w:pPr>
        <w:spacing w:after="160" w:line="259" w:lineRule="auto"/>
        <w:contextualSpacing/>
        <w:rPr>
          <w:rFonts w:ascii="Times New Roman" w:eastAsiaTheme="minorHAnsi" w:hAnsi="Times New Roman" w:cs="Times New Roman"/>
          <w:sz w:val="24"/>
          <w:szCs w:val="24"/>
        </w:rPr>
      </w:pPr>
    </w:p>
    <w:p w14:paraId="4D881262" w14:textId="52CBB359"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Kaushika Amin – Interim Head, Ann Tyler Children’s Centre</w:t>
      </w:r>
    </w:p>
    <w:p w14:paraId="7836110A"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4D38ABDC"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Tim Brighouse – Former Schools Commissioner for London</w:t>
      </w:r>
    </w:p>
    <w:p w14:paraId="12260140"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570A9E0F"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Chris Brown – Senior Lecturer, Institute of Education, University College London</w:t>
      </w:r>
    </w:p>
    <w:p w14:paraId="4D5E8CED"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3F513405"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Simon Burgess – Professor of Economics, University of Bristol</w:t>
      </w:r>
    </w:p>
    <w:p w14:paraId="29456814"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66B68CF2"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Anne Canning – Director of Education and Head of Hackney Learning Trust </w:t>
      </w:r>
    </w:p>
    <w:p w14:paraId="044A1D46"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2A51B57C"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Sir Kevan Collins – Chief Executive, Education Endowment Foundation  </w:t>
      </w:r>
    </w:p>
    <w:p w14:paraId="1BAC3296"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381D647B" w14:textId="510ED40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Naomi Eisenstadt – Department of Education, University of Oxford</w:t>
      </w:r>
      <w:r w:rsidR="006127A1">
        <w:rPr>
          <w:rFonts w:ascii="Times New Roman" w:eastAsiaTheme="minorHAnsi" w:hAnsi="Times New Roman" w:cs="Times New Roman"/>
          <w:sz w:val="24"/>
          <w:szCs w:val="24"/>
        </w:rPr>
        <w:t xml:space="preserve"> (June, 2015) </w:t>
      </w:r>
    </w:p>
    <w:p w14:paraId="5AA4A12B"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78C7CA55" w14:textId="46909B19"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Christine Gilbert –</w:t>
      </w:r>
      <w:r w:rsidR="008A572E">
        <w:rPr>
          <w:rFonts w:ascii="Times New Roman" w:eastAsiaTheme="minorHAnsi" w:hAnsi="Times New Roman" w:cs="Times New Roman"/>
          <w:sz w:val="24"/>
          <w:szCs w:val="24"/>
        </w:rPr>
        <w:t>Director of Education in Tower Hamlets 1997-2001</w:t>
      </w:r>
      <w:r w:rsidR="00F808F4">
        <w:rPr>
          <w:rFonts w:ascii="Times New Roman" w:eastAsiaTheme="minorHAnsi" w:hAnsi="Times New Roman" w:cs="Times New Roman"/>
          <w:sz w:val="24"/>
          <w:szCs w:val="24"/>
        </w:rPr>
        <w:t>, H</w:t>
      </w:r>
      <w:r w:rsidRPr="00D8324C">
        <w:rPr>
          <w:rFonts w:ascii="Times New Roman" w:eastAsiaTheme="minorHAnsi" w:hAnsi="Times New Roman" w:cs="Times New Roman"/>
          <w:sz w:val="24"/>
          <w:szCs w:val="24"/>
        </w:rPr>
        <w:t>ead of Children’s Services</w:t>
      </w:r>
      <w:r w:rsidR="008A572E">
        <w:rPr>
          <w:rFonts w:ascii="Times New Roman" w:eastAsiaTheme="minorHAnsi" w:hAnsi="Times New Roman" w:cs="Times New Roman"/>
          <w:sz w:val="24"/>
          <w:szCs w:val="24"/>
        </w:rPr>
        <w:t xml:space="preserve"> in</w:t>
      </w:r>
      <w:r w:rsidRPr="00D8324C">
        <w:rPr>
          <w:rFonts w:ascii="Times New Roman" w:eastAsiaTheme="minorHAnsi" w:hAnsi="Times New Roman" w:cs="Times New Roman"/>
          <w:sz w:val="24"/>
          <w:szCs w:val="24"/>
        </w:rPr>
        <w:t xml:space="preserve"> Tower Hamlets, and </w:t>
      </w:r>
      <w:r w:rsidR="00803225">
        <w:rPr>
          <w:rFonts w:ascii="Times New Roman" w:eastAsiaTheme="minorHAnsi" w:hAnsi="Times New Roman" w:cs="Times New Roman"/>
          <w:sz w:val="24"/>
          <w:szCs w:val="24"/>
        </w:rPr>
        <w:t xml:space="preserve">Ofsted </w:t>
      </w:r>
      <w:r w:rsidR="00F808F4">
        <w:rPr>
          <w:rFonts w:ascii="Times New Roman" w:eastAsiaTheme="minorHAnsi" w:hAnsi="Times New Roman" w:cs="Times New Roman"/>
          <w:sz w:val="24"/>
          <w:szCs w:val="24"/>
        </w:rPr>
        <w:t xml:space="preserve">Chief Inspector </w:t>
      </w:r>
      <w:r w:rsidR="00803225">
        <w:rPr>
          <w:rFonts w:ascii="Times New Roman" w:eastAsiaTheme="minorHAnsi" w:hAnsi="Times New Roman" w:cs="Times New Roman"/>
          <w:sz w:val="24"/>
          <w:szCs w:val="24"/>
        </w:rPr>
        <w:t xml:space="preserve">(2006-2011) </w:t>
      </w:r>
    </w:p>
    <w:p w14:paraId="23AA054F"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4C9A66DD"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Derek Hewie – headteacher, Woodberry Down Community Primary School, Hackney</w:t>
      </w:r>
    </w:p>
    <w:p w14:paraId="5A690AD8"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0AD1E327" w14:textId="32E944CE"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Lucy Heller – Chief Executive, Ark </w:t>
      </w:r>
    </w:p>
    <w:p w14:paraId="31040B1D"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032B1701" w14:textId="26D65488"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Chris Husbands – Director, Institute of Education</w:t>
      </w:r>
      <w:r w:rsidR="0038619D">
        <w:rPr>
          <w:rFonts w:ascii="Times New Roman" w:eastAsiaTheme="minorHAnsi" w:hAnsi="Times New Roman" w:cs="Times New Roman"/>
          <w:sz w:val="24"/>
          <w:szCs w:val="24"/>
        </w:rPr>
        <w:t xml:space="preserve">, University of London </w:t>
      </w:r>
    </w:p>
    <w:p w14:paraId="271E2F12"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4C0097BD"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Gillian Kemp – Headteacher, Cyril Jackson Primary School</w:t>
      </w:r>
    </w:p>
    <w:p w14:paraId="4DCA021B"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59BF947B"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Ann Marie Kerrigan – Manager, Morningside Children’s Centre</w:t>
      </w:r>
    </w:p>
    <w:p w14:paraId="25B0283F"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7204D280" w14:textId="3A016C73"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Peter Launer – Chief Executive. Skills Funding Agency of Department for Education</w:t>
      </w:r>
      <w:r w:rsidR="006127A1">
        <w:rPr>
          <w:rFonts w:ascii="Times New Roman" w:eastAsiaTheme="minorHAnsi" w:hAnsi="Times New Roman" w:cs="Times New Roman"/>
          <w:sz w:val="24"/>
          <w:szCs w:val="24"/>
        </w:rPr>
        <w:t xml:space="preserve"> (June, 2015) </w:t>
      </w:r>
    </w:p>
    <w:p w14:paraId="3E0C5BA1"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7B241550"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Frankie Martin – Assistant Head, London Fields Primary School, Hackney </w:t>
      </w:r>
    </w:p>
    <w:p w14:paraId="3252987F"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25B1127C" w14:textId="63AA5AE8"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Andrew McCully – Director General for School Infrastructure and Funding, Department for Education </w:t>
      </w:r>
      <w:r w:rsidR="006127A1">
        <w:rPr>
          <w:rFonts w:ascii="Times New Roman" w:eastAsiaTheme="minorHAnsi" w:hAnsi="Times New Roman" w:cs="Times New Roman"/>
          <w:sz w:val="24"/>
          <w:szCs w:val="24"/>
        </w:rPr>
        <w:t xml:space="preserve">(June, 2015) </w:t>
      </w:r>
    </w:p>
    <w:p w14:paraId="151EEA6D"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5E142718"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Frank O’Donoghue – Head of Information &amp; Business Services, Hackney Learning Trust</w:t>
      </w:r>
    </w:p>
    <w:p w14:paraId="462CB935"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3CC9F8E6" w14:textId="2A20BC11"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Terry Parkin – </w:t>
      </w:r>
      <w:r w:rsidR="0038619D" w:rsidRPr="00803225">
        <w:rPr>
          <w:rFonts w:ascii="Times New Roman" w:eastAsiaTheme="minorHAnsi" w:hAnsi="Times New Roman" w:cs="Times New Roman"/>
          <w:sz w:val="24"/>
          <w:szCs w:val="24"/>
        </w:rPr>
        <w:t xml:space="preserve">Interim </w:t>
      </w:r>
      <w:r w:rsidRPr="00803225">
        <w:rPr>
          <w:rFonts w:ascii="Times New Roman" w:eastAsiaTheme="minorHAnsi" w:hAnsi="Times New Roman" w:cs="Times New Roman"/>
          <w:sz w:val="24"/>
          <w:szCs w:val="24"/>
        </w:rPr>
        <w:t xml:space="preserve">Service </w:t>
      </w:r>
      <w:r w:rsidRPr="00D8324C">
        <w:rPr>
          <w:rFonts w:ascii="Times New Roman" w:eastAsiaTheme="minorHAnsi" w:hAnsi="Times New Roman" w:cs="Times New Roman"/>
          <w:sz w:val="24"/>
          <w:szCs w:val="24"/>
        </w:rPr>
        <w:t>Head</w:t>
      </w:r>
      <w:r w:rsidR="00803225">
        <w:rPr>
          <w:rFonts w:ascii="Times New Roman" w:eastAsiaTheme="minorHAnsi" w:hAnsi="Times New Roman" w:cs="Times New Roman"/>
          <w:sz w:val="24"/>
          <w:szCs w:val="24"/>
        </w:rPr>
        <w:t xml:space="preserve">, </w:t>
      </w:r>
      <w:r w:rsidRPr="00D8324C">
        <w:rPr>
          <w:rFonts w:ascii="Times New Roman" w:eastAsiaTheme="minorHAnsi" w:hAnsi="Times New Roman" w:cs="Times New Roman"/>
          <w:sz w:val="24"/>
          <w:szCs w:val="24"/>
        </w:rPr>
        <w:t>Learning and Achievement, Tower Hamlets</w:t>
      </w:r>
    </w:p>
    <w:p w14:paraId="2B5E76CF"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6200A236"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Nicole Reid – Headteacher, Shacklewell Primary School, Hackney</w:t>
      </w:r>
    </w:p>
    <w:p w14:paraId="4D5BE89A"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59F746DE" w14:textId="6EABC873"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Angela Scattergood – Head of Early Years Services, Hackney Learning Trust</w:t>
      </w:r>
      <w:r w:rsidR="006127A1">
        <w:rPr>
          <w:rFonts w:ascii="Times New Roman" w:eastAsiaTheme="minorHAnsi" w:hAnsi="Times New Roman" w:cs="Times New Roman"/>
          <w:sz w:val="24"/>
          <w:szCs w:val="24"/>
        </w:rPr>
        <w:t xml:space="preserve"> </w:t>
      </w:r>
      <w:r w:rsidR="006127A1" w:rsidRPr="00F808F4">
        <w:rPr>
          <w:rFonts w:ascii="Times New Roman" w:eastAsiaTheme="minorHAnsi" w:hAnsi="Times New Roman" w:cs="Times New Roman"/>
          <w:sz w:val="24"/>
          <w:szCs w:val="24"/>
        </w:rPr>
        <w:t>(June</w:t>
      </w:r>
      <w:r w:rsidR="00F808F4" w:rsidRPr="00F808F4">
        <w:rPr>
          <w:rFonts w:ascii="Times New Roman" w:eastAsiaTheme="minorHAnsi" w:hAnsi="Times New Roman" w:cs="Times New Roman"/>
          <w:sz w:val="24"/>
          <w:szCs w:val="24"/>
        </w:rPr>
        <w:t xml:space="preserve"> and October</w:t>
      </w:r>
      <w:r w:rsidR="00D01353" w:rsidRPr="00F808F4">
        <w:rPr>
          <w:rFonts w:ascii="Times New Roman" w:eastAsiaTheme="minorHAnsi" w:hAnsi="Times New Roman" w:cs="Times New Roman"/>
          <w:sz w:val="24"/>
          <w:szCs w:val="24"/>
        </w:rPr>
        <w:t>,</w:t>
      </w:r>
      <w:r w:rsidR="006127A1" w:rsidRPr="00F808F4">
        <w:rPr>
          <w:rFonts w:ascii="Times New Roman" w:eastAsiaTheme="minorHAnsi" w:hAnsi="Times New Roman" w:cs="Times New Roman"/>
          <w:sz w:val="24"/>
          <w:szCs w:val="24"/>
        </w:rPr>
        <w:t xml:space="preserve"> 2015)</w:t>
      </w:r>
    </w:p>
    <w:p w14:paraId="7E669434"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40507BC3"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Michelle Thomas – Headteacher, Federation of Grazebrook and Shacklewell Primary Schools</w:t>
      </w:r>
    </w:p>
    <w:p w14:paraId="6AA8BED4"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66ADC6CC"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Martin Tune – Headteacher, Bonner Primary School, Tower Hamlets </w:t>
      </w:r>
    </w:p>
    <w:p w14:paraId="33B05CA6"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0FDF0C4C"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Caroline Tyson – Headteacher, London Fields Primary School, Hackney</w:t>
      </w:r>
    </w:p>
    <w:p w14:paraId="7AE777BA" w14:textId="77777777" w:rsidR="00D8324C" w:rsidRPr="00D8324C" w:rsidRDefault="00D8324C" w:rsidP="00D8324C">
      <w:pPr>
        <w:spacing w:after="160" w:line="240" w:lineRule="auto"/>
        <w:contextualSpacing/>
        <w:rPr>
          <w:rFonts w:ascii="Times New Roman" w:eastAsiaTheme="minorHAnsi" w:hAnsi="Times New Roman" w:cs="Times New Roman"/>
          <w:sz w:val="24"/>
          <w:szCs w:val="24"/>
        </w:rPr>
      </w:pPr>
    </w:p>
    <w:p w14:paraId="35FCCC5F" w14:textId="153BDC88" w:rsidR="00D8324C" w:rsidRPr="00D8324C" w:rsidRDefault="00D8324C" w:rsidP="00D8324C">
      <w:pPr>
        <w:spacing w:after="160" w:line="240" w:lineRule="auto"/>
        <w:contextualSpacing/>
        <w:rPr>
          <w:rFonts w:ascii="Times New Roman" w:eastAsiaTheme="minorHAnsi" w:hAnsi="Times New Roman" w:cs="Times New Roman"/>
          <w:sz w:val="24"/>
          <w:szCs w:val="24"/>
        </w:rPr>
      </w:pPr>
      <w:r w:rsidRPr="00D8324C">
        <w:rPr>
          <w:rFonts w:ascii="Times New Roman" w:eastAsiaTheme="minorHAnsi" w:hAnsi="Times New Roman" w:cs="Times New Roman"/>
          <w:sz w:val="24"/>
          <w:szCs w:val="24"/>
        </w:rPr>
        <w:t xml:space="preserve">Alan Wood – </w:t>
      </w:r>
      <w:r w:rsidR="006127A1">
        <w:rPr>
          <w:rFonts w:ascii="Times New Roman" w:eastAsiaTheme="minorHAnsi" w:hAnsi="Times New Roman" w:cs="Times New Roman"/>
          <w:sz w:val="24"/>
          <w:szCs w:val="24"/>
        </w:rPr>
        <w:t xml:space="preserve">Director of the Learning Trust; now </w:t>
      </w:r>
      <w:r w:rsidRPr="00D8324C">
        <w:rPr>
          <w:rFonts w:ascii="Times New Roman" w:eastAsiaTheme="minorHAnsi" w:hAnsi="Times New Roman" w:cs="Times New Roman"/>
          <w:sz w:val="24"/>
          <w:szCs w:val="24"/>
        </w:rPr>
        <w:t>Director of Children’s Services, Borough of Hackney</w:t>
      </w:r>
      <w:r w:rsidR="0038619D">
        <w:rPr>
          <w:rFonts w:ascii="Times New Roman" w:eastAsiaTheme="minorHAnsi" w:hAnsi="Times New Roman" w:cs="Times New Roman"/>
          <w:sz w:val="24"/>
          <w:szCs w:val="24"/>
        </w:rPr>
        <w:t xml:space="preserve">. </w:t>
      </w:r>
      <w:r w:rsidR="006127A1">
        <w:rPr>
          <w:rFonts w:ascii="Times New Roman" w:eastAsiaTheme="minorHAnsi" w:hAnsi="Times New Roman" w:cs="Times New Roman"/>
          <w:sz w:val="24"/>
          <w:szCs w:val="24"/>
        </w:rPr>
        <w:t xml:space="preserve">(June, 2015) </w:t>
      </w:r>
    </w:p>
    <w:p w14:paraId="3E39179A" w14:textId="77777777" w:rsidR="00D8324C" w:rsidRPr="00D8324C" w:rsidRDefault="00D8324C" w:rsidP="00D8324C">
      <w:pPr>
        <w:spacing w:after="160" w:line="259" w:lineRule="auto"/>
        <w:rPr>
          <w:rFonts w:ascii="Times New Roman" w:eastAsiaTheme="minorHAnsi" w:hAnsi="Times New Roman" w:cs="Times New Roman"/>
          <w:sz w:val="24"/>
          <w:szCs w:val="24"/>
        </w:rPr>
      </w:pPr>
    </w:p>
    <w:p w14:paraId="2F4B468A" w14:textId="77777777" w:rsidR="00D8324C" w:rsidRPr="00D8324C" w:rsidRDefault="00D8324C" w:rsidP="00D8324C">
      <w:pPr>
        <w:spacing w:after="160" w:line="259" w:lineRule="auto"/>
        <w:rPr>
          <w:rFonts w:ascii="Times New Roman" w:eastAsiaTheme="minorHAnsi" w:hAnsi="Times New Roman" w:cs="Times New Roman"/>
          <w:b/>
        </w:rPr>
      </w:pPr>
    </w:p>
    <w:p w14:paraId="75DDDC91" w14:textId="77777777" w:rsidR="00F6528A" w:rsidRDefault="00F6528A" w:rsidP="00300980">
      <w:pPr>
        <w:contextualSpacing/>
        <w:rPr>
          <w:rFonts w:cs="Times New Roman"/>
          <w:sz w:val="24"/>
          <w:szCs w:val="24"/>
        </w:rPr>
      </w:pPr>
    </w:p>
    <w:sectPr w:rsidR="00F6528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6531" w14:textId="77777777" w:rsidR="00046389" w:rsidRDefault="00046389" w:rsidP="006B6D87">
      <w:pPr>
        <w:spacing w:after="0" w:line="240" w:lineRule="auto"/>
      </w:pPr>
      <w:r>
        <w:separator/>
      </w:r>
    </w:p>
  </w:endnote>
  <w:endnote w:type="continuationSeparator" w:id="0">
    <w:p w14:paraId="5BB302DF" w14:textId="77777777" w:rsidR="00046389" w:rsidRDefault="00046389" w:rsidP="006B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08483"/>
      <w:docPartObj>
        <w:docPartGallery w:val="Page Numbers (Bottom of Page)"/>
        <w:docPartUnique/>
      </w:docPartObj>
    </w:sdtPr>
    <w:sdtEndPr>
      <w:rPr>
        <w:noProof/>
      </w:rPr>
    </w:sdtEndPr>
    <w:sdtContent>
      <w:p w14:paraId="04FE5E87" w14:textId="6B55399B" w:rsidR="004F5A50" w:rsidRDefault="004F5A50">
        <w:pPr>
          <w:pStyle w:val="Footer"/>
          <w:jc w:val="center"/>
        </w:pPr>
        <w:r>
          <w:fldChar w:fldCharType="begin"/>
        </w:r>
        <w:r>
          <w:instrText xml:space="preserve"> PAGE   \* MERGEFORMAT </w:instrText>
        </w:r>
        <w:r>
          <w:fldChar w:fldCharType="separate"/>
        </w:r>
        <w:r w:rsidR="00680550">
          <w:rPr>
            <w:noProof/>
          </w:rPr>
          <w:t>1</w:t>
        </w:r>
        <w:r>
          <w:rPr>
            <w:noProof/>
          </w:rPr>
          <w:fldChar w:fldCharType="end"/>
        </w:r>
      </w:p>
    </w:sdtContent>
  </w:sdt>
  <w:p w14:paraId="2D7D08FB" w14:textId="77777777" w:rsidR="004F5A50" w:rsidRDefault="004F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B083" w14:textId="77777777" w:rsidR="00046389" w:rsidRDefault="00046389" w:rsidP="006B6D87">
      <w:pPr>
        <w:spacing w:after="0" w:line="240" w:lineRule="auto"/>
      </w:pPr>
      <w:r>
        <w:separator/>
      </w:r>
    </w:p>
  </w:footnote>
  <w:footnote w:type="continuationSeparator" w:id="0">
    <w:p w14:paraId="2C8317F1" w14:textId="77777777" w:rsidR="00046389" w:rsidRDefault="00046389" w:rsidP="006B6D87">
      <w:pPr>
        <w:spacing w:after="0" w:line="240" w:lineRule="auto"/>
      </w:pPr>
      <w:r>
        <w:continuationSeparator/>
      </w:r>
    </w:p>
  </w:footnote>
  <w:footnote w:id="1">
    <w:p w14:paraId="1B5D4AF9" w14:textId="77777777" w:rsidR="004F5A50" w:rsidRDefault="004F5A50">
      <w:pPr>
        <w:pStyle w:val="FootnoteText"/>
      </w:pPr>
      <w:r>
        <w:rPr>
          <w:rStyle w:val="FootnoteReference"/>
        </w:rPr>
        <w:footnoteRef/>
      </w:r>
      <w:r>
        <w:t xml:space="preserve"> Five GCSE passes at grade C or higher are the rough equivalent of a U.S. high school diploma. The grade A* is equivalent to an A+.  Age 16 represents the end of compulsory schooling in England, but about 80 percent of all students  continue in school for another two years, at which time they take A-level tests required for entrance to a university. </w:t>
      </w:r>
    </w:p>
  </w:footnote>
  <w:footnote w:id="2">
    <w:p w14:paraId="6512039A" w14:textId="77777777" w:rsidR="004F5A50" w:rsidRDefault="004F5A50">
      <w:pPr>
        <w:pStyle w:val="FootnoteText"/>
      </w:pPr>
      <w:r>
        <w:rPr>
          <w:rStyle w:val="FootnoteReference"/>
        </w:rPr>
        <w:footnoteRef/>
      </w:r>
      <w:r>
        <w:t xml:space="preserve"> They have had responsibility for local education services only since 1990 when the Inner London Education Authority was abolished. </w:t>
      </w:r>
    </w:p>
  </w:footnote>
  <w:footnote w:id="3">
    <w:p w14:paraId="7F212048" w14:textId="77777777" w:rsidR="004F5A50" w:rsidRDefault="004F5A50">
      <w:pPr>
        <w:pStyle w:val="FootnoteText"/>
      </w:pPr>
      <w:r>
        <w:rPr>
          <w:rStyle w:val="FootnoteReference"/>
        </w:rPr>
        <w:footnoteRef/>
      </w:r>
      <w:r>
        <w:t xml:space="preserve"> The Inner London boroughs are Camden, Hackney, Hammersmith and Fulham, Haringey, Islington, Kensington and Chelsea, Lambeth, Lewisham, Newham, Southward, Tower Hamlets, Wandsworth, and Westminster, plus the special area of the City of London. Any references we make to Inner London exclude the City of London.   </w:t>
      </w:r>
    </w:p>
  </w:footnote>
  <w:footnote w:id="4">
    <w:p w14:paraId="34E0553B" w14:textId="7DDD6115" w:rsidR="004F5A50" w:rsidRDefault="004F5A50">
      <w:pPr>
        <w:pStyle w:val="FootnoteText"/>
      </w:pPr>
      <w:r>
        <w:rPr>
          <w:rStyle w:val="FootnoteReference"/>
        </w:rPr>
        <w:footnoteRef/>
      </w:r>
      <w:r>
        <w:t xml:space="preserve"> Initially established by a 1992 law, Ofsted was for many years simply the Office for Standards in Education.  Its responsibilities were later extend</w:t>
      </w:r>
      <w:r w:rsidR="004F355C">
        <w:t>ed</w:t>
      </w:r>
      <w:r>
        <w:t xml:space="preserve"> to day care and other children’s services and in 2007 to a broader set of </w:t>
      </w:r>
      <w:r w:rsidR="004F355C">
        <w:t>training programs</w:t>
      </w:r>
      <w:r>
        <w:t xml:space="preserve"> for adults. </w:t>
      </w:r>
    </w:p>
  </w:footnote>
  <w:footnote w:id="5">
    <w:p w14:paraId="1D3281A4" w14:textId="10E845FF" w:rsidR="004F5A50" w:rsidRDefault="004F5A50">
      <w:pPr>
        <w:pStyle w:val="FootnoteText"/>
      </w:pPr>
      <w:r>
        <w:rPr>
          <w:rStyle w:val="FootnoteReference"/>
        </w:rPr>
        <w:footnoteRef/>
      </w:r>
      <w:r>
        <w:t xml:space="preserve"> The source for the aggregate measure of performance in math, reading and science is School Performance data, from 1996-2009.   The measure for grade level performance in both math and reading from 2007 to 2011 comes from the National Curriculum Assessment at Key Stage 2 in Local authority and regional tables, Table 18. The 2011 figure is reported in that source but is from the national pupil data base.  For math and reading, 2012 to 2014, the source is the National Curriculum Assessment at Key State 2 in England, 2014, revised, in local authority and regional tables. </w:t>
      </w:r>
    </w:p>
  </w:footnote>
  <w:footnote w:id="6">
    <w:p w14:paraId="35A435D0" w14:textId="38DDB6BA" w:rsidR="004F5A50" w:rsidRDefault="004F5A50">
      <w:pPr>
        <w:pStyle w:val="FootnoteText"/>
      </w:pPr>
      <w:r>
        <w:rPr>
          <w:rStyle w:val="FootnoteReference"/>
        </w:rPr>
        <w:footnoteRef/>
      </w:r>
      <w:r>
        <w:t xml:space="preserve"> Eligibility for free school meals in England is based primarily on whether the child’s parents receive income support through one of several programs for low-income families. </w:t>
      </w:r>
    </w:p>
  </w:footnote>
  <w:footnote w:id="7">
    <w:p w14:paraId="77B1401B" w14:textId="27DCCE22" w:rsidR="004F5A50" w:rsidRDefault="004F5A50">
      <w:pPr>
        <w:pStyle w:val="FootnoteText"/>
      </w:pPr>
      <w:r>
        <w:rPr>
          <w:rStyle w:val="FootnoteReference"/>
        </w:rPr>
        <w:footnoteRef/>
      </w:r>
      <w:r>
        <w:t xml:space="preserve">  These figures are based on data from the Department of Education, National curriculum assessments at key stage 2, 2014 (revised). Disadvantage is the measure used in the pupil premium program. </w:t>
      </w:r>
    </w:p>
  </w:footnote>
  <w:footnote w:id="8">
    <w:p w14:paraId="225A7F1D" w14:textId="76B75846" w:rsidR="004F5A50" w:rsidRDefault="004F5A50">
      <w:pPr>
        <w:pStyle w:val="FootnoteText"/>
      </w:pPr>
      <w:r>
        <w:rPr>
          <w:rStyle w:val="FootnoteReference"/>
        </w:rPr>
        <w:footnoteRef/>
      </w:r>
      <w:r>
        <w:t xml:space="preserve"> The standard used here is the one reported by the National Department for Education for the most recent years.  </w:t>
      </w:r>
    </w:p>
  </w:footnote>
  <w:footnote w:id="9">
    <w:p w14:paraId="65F539F4" w14:textId="10A3F723" w:rsidR="004F5A50" w:rsidRDefault="004F5A50">
      <w:pPr>
        <w:pStyle w:val="FootnoteText"/>
      </w:pPr>
      <w:r>
        <w:rPr>
          <w:rStyle w:val="FootnoteReference"/>
        </w:rPr>
        <w:footnoteRef/>
      </w:r>
      <w:r>
        <w:t xml:space="preserve"> The source for these figures is </w:t>
      </w:r>
      <w:r w:rsidRPr="00573F9B">
        <w:rPr>
          <w:i/>
        </w:rPr>
        <w:t>Trial by Jeory</w:t>
      </w:r>
      <w:r>
        <w:rPr>
          <w:i/>
        </w:rPr>
        <w:t xml:space="preserve"> (2012) </w:t>
      </w:r>
      <w:r>
        <w:t xml:space="preserve">. </w:t>
      </w:r>
    </w:p>
  </w:footnote>
  <w:footnote w:id="10">
    <w:p w14:paraId="0BBD2015" w14:textId="1F0D339B" w:rsidR="004F5A50" w:rsidRDefault="004F5A50">
      <w:pPr>
        <w:pStyle w:val="FootnoteText"/>
      </w:pPr>
      <w:r>
        <w:rPr>
          <w:rStyle w:val="FootnoteReference"/>
        </w:rPr>
        <w:footnoteRef/>
      </w:r>
      <w:r>
        <w:t xml:space="preserve"> In his study of the overall London effect, Burgess (2014) documents that pupil progress beyond primary schools was greatest both in London and in the rest of England among B</w:t>
      </w:r>
      <w:r w:rsidR="009D505C">
        <w:t>a</w:t>
      </w:r>
      <w:r>
        <w:t xml:space="preserve">ngladeshi, Indians, Black Africans and Chinese (Table 3). </w:t>
      </w:r>
    </w:p>
  </w:footnote>
  <w:footnote w:id="11">
    <w:p w14:paraId="71848251" w14:textId="77777777" w:rsidR="004F5A50" w:rsidRDefault="004F5A50">
      <w:pPr>
        <w:pStyle w:val="FootnoteText"/>
      </w:pPr>
      <w:r>
        <w:rPr>
          <w:rStyle w:val="FootnoteReference"/>
        </w:rPr>
        <w:footnoteRef/>
      </w:r>
      <w:r>
        <w:t xml:space="preserve"> One minor qualification to this statement would be if the achievement of low-income students were positively affected by the presence of a growing proportion of more advantaged peers. </w:t>
      </w:r>
    </w:p>
  </w:footnote>
  <w:footnote w:id="12">
    <w:p w14:paraId="03886294" w14:textId="77777777" w:rsidR="004F5A50" w:rsidRDefault="004F5A50">
      <w:pPr>
        <w:pStyle w:val="FootnoteText"/>
      </w:pPr>
      <w:r>
        <w:rPr>
          <w:rStyle w:val="FootnoteReference"/>
        </w:rPr>
        <w:footnoteRef/>
      </w:r>
      <w:r>
        <w:t xml:space="preserve">  The relatively high pupil/teacher ratio for Hackney in 2011 appears to be an anomaly. In the following year, the Hackney ratio is below the national average (19.9 vs. 21).  </w:t>
      </w:r>
    </w:p>
  </w:footnote>
  <w:footnote w:id="13">
    <w:p w14:paraId="223A72B4" w14:textId="5048F5B9" w:rsidR="004F5A50" w:rsidRPr="006769A7" w:rsidRDefault="004F5A50" w:rsidP="008867FC">
      <w:pPr>
        <w:spacing w:after="0" w:line="240" w:lineRule="auto"/>
        <w:rPr>
          <w:color w:val="000000"/>
        </w:rPr>
      </w:pPr>
      <w:r>
        <w:rPr>
          <w:rStyle w:val="FootnoteReference"/>
        </w:rPr>
        <w:footnoteRef/>
      </w:r>
      <w:r>
        <w:t xml:space="preserve"> This discussion draws on several articles about the London </w:t>
      </w:r>
      <w:r w:rsidRPr="00C217B1">
        <w:t>challenge (see, for example, Hutchings and Mansaray, 2013) and our October interview in Oxford with Tim Brighouse, the head of the London</w:t>
      </w:r>
      <w:r>
        <w:t xml:space="preserve"> Challenge. He had previously been director of education services in Birmingham and was brought to London in 2002 to establish and run the London challenge.  </w:t>
      </w:r>
      <w:r w:rsidRPr="006769A7">
        <w:rPr>
          <w:color w:val="000000"/>
        </w:rPr>
        <w:t xml:space="preserve"> </w:t>
      </w:r>
    </w:p>
    <w:p w14:paraId="374F19F0" w14:textId="77777777" w:rsidR="004F5A50" w:rsidRPr="006769A7" w:rsidRDefault="004F5A50" w:rsidP="00E1255C">
      <w:pPr>
        <w:pStyle w:val="FootnoteText"/>
      </w:pPr>
    </w:p>
  </w:footnote>
  <w:footnote w:id="14">
    <w:p w14:paraId="01AF03FD" w14:textId="321F031B" w:rsidR="004F5A50" w:rsidRDefault="004F5A50">
      <w:pPr>
        <w:pStyle w:val="FootnoteText"/>
      </w:pPr>
      <w:r>
        <w:rPr>
          <w:rStyle w:val="FootnoteReference"/>
        </w:rPr>
        <w:footnoteRef/>
      </w:r>
      <w:r>
        <w:t xml:space="preserve">  Ofsted inspections currently take no more than two days with the size of the professionally trained inspection team differing with the size and nature of the school.  The inspectors make a judgement on overall effectiveness of the school based on judgements about the quality of teaching, learning and assessment; personal development, behavior and welfare; and outcomes for pupils. In addition, they evaluate the leadership and management of the school.  For a complete description of the process, see  </w:t>
      </w:r>
      <w:r w:rsidRPr="00AD7784">
        <w:t>https://www.gov.uk/government/uploads/system/uploads/attachment_data/file/458866/School_inspection_handbook_section_5_from_September_2015.pdf</w:t>
      </w:r>
    </w:p>
  </w:footnote>
  <w:footnote w:id="15">
    <w:p w14:paraId="35B85CB2" w14:textId="77777777" w:rsidR="004F5A50" w:rsidRDefault="004F5A50">
      <w:pPr>
        <w:pStyle w:val="FootnoteText"/>
      </w:pPr>
      <w:r>
        <w:rPr>
          <w:rStyle w:val="FootnoteReference"/>
        </w:rPr>
        <w:footnoteRef/>
      </w:r>
      <w:r>
        <w:t xml:space="preserve">  We are counting only full inspections.  If a school receives a poor grade in one year, it is often monitored for the next year or two.  The figures in the table do not include the monitoring inspections. </w:t>
      </w:r>
    </w:p>
  </w:footnote>
  <w:footnote w:id="16">
    <w:p w14:paraId="43362ACA" w14:textId="78CD0751" w:rsidR="004F5A50" w:rsidRDefault="004F5A50">
      <w:pPr>
        <w:pStyle w:val="FootnoteText"/>
      </w:pPr>
      <w:r>
        <w:rPr>
          <w:rStyle w:val="FootnoteReference"/>
        </w:rPr>
        <w:footnoteRef/>
      </w:r>
      <w:r>
        <w:t xml:space="preserve"> This and subsequent discussion of Tower Hamlets draws on interviews with Christine Gilbert, Terry Parkin who was a borough inspector during her tenure and is currently interim director of Education in Tower Hamlets, Kevan Collins who later became Director of Children’s Services in Tower Hamlets, and two of the three authors of a detailed 2013 report of the educational transformation in Tower Hamlets (Woods et al, 2013).  Their recollections were generally corroborated by material in various contemporaneous Ofsted reports and by the analysis is Fullan  (2014). </w:t>
      </w:r>
    </w:p>
  </w:footnote>
  <w:footnote w:id="17">
    <w:p w14:paraId="41BD3389" w14:textId="2B3C6013" w:rsidR="004F5A50" w:rsidRDefault="004F5A50">
      <w:pPr>
        <w:pStyle w:val="FootnoteText"/>
      </w:pPr>
      <w:r>
        <w:rPr>
          <w:rStyle w:val="FootnoteReference"/>
        </w:rPr>
        <w:footnoteRef/>
      </w:r>
      <w:r>
        <w:t xml:space="preserve"> This discussion is based primarily on our interview with Alan Woods in June, 2015 and accounts in Fullan, 2014; Boyle and Humphreys, 2012, and The Learning Trust (2012), as well as the 2003 Ofsted report on Hackney.   The 2012 internal report by The Learning Trust documents the borough’s progress over time. The Boyle and Humphreys book was published by Leannta Education Associates, a private company, based on extensive interviews with 36 people involved with Hackney education during the life of the Trust. The subsequent Fullan (2014) discussion of Hackney draws heavily on the Boyle and Humphreys study. </w:t>
      </w:r>
    </w:p>
  </w:footnote>
  <w:footnote w:id="18">
    <w:p w14:paraId="4E016ABF" w14:textId="3C286A90" w:rsidR="004F5A50" w:rsidRDefault="004F5A50">
      <w:pPr>
        <w:pStyle w:val="FootnoteText"/>
      </w:pPr>
      <w:r>
        <w:rPr>
          <w:rStyle w:val="FootnoteReference"/>
        </w:rPr>
        <w:footnoteRef/>
      </w:r>
      <w:r>
        <w:t xml:space="preserve"> School performance data for the Bonner School for the year 1996 confirms his recollection.  For that year, 52 percent of the students achieved grade level standards in English, at a time when only 43 percent reached that standard in math. By 1999, 80 percent of the Bonner students achieved grade level standards in English. See Beard 2000 for background on the National Literacy Project and National Literacy Strategy. </w:t>
      </w:r>
    </w:p>
  </w:footnote>
  <w:footnote w:id="19">
    <w:p w14:paraId="24E3112F" w14:textId="77777777" w:rsidR="004F5A50" w:rsidRPr="00DE1C27" w:rsidRDefault="004F5A50" w:rsidP="0029756F">
      <w:pPr>
        <w:ind w:right="720"/>
        <w:rPr>
          <w:rFonts w:cs="Times New Roman"/>
          <w:i/>
          <w:sz w:val="24"/>
          <w:szCs w:val="24"/>
        </w:rPr>
      </w:pPr>
      <w:r>
        <w:rPr>
          <w:rStyle w:val="FootnoteReference"/>
        </w:rPr>
        <w:footnoteRef/>
      </w:r>
      <w:r>
        <w:t xml:space="preserve"> Under the Race to the Top Program for example, the four strategies consisted of a </w:t>
      </w:r>
      <w:r w:rsidRPr="00B66766">
        <w:rPr>
          <w:i/>
        </w:rPr>
        <w:t>transformation model</w:t>
      </w:r>
      <w:r>
        <w:t xml:space="preserve"> that required the school principal to be replaced, a </w:t>
      </w:r>
      <w:r w:rsidRPr="00322187">
        <w:rPr>
          <w:i/>
        </w:rPr>
        <w:t xml:space="preserve">turnaround model </w:t>
      </w:r>
      <w:r>
        <w:t xml:space="preserve">that required the replacement of both the principal and 50% of the teachers, a </w:t>
      </w:r>
      <w:r w:rsidRPr="00322187">
        <w:rPr>
          <w:i/>
        </w:rPr>
        <w:t>restart model</w:t>
      </w:r>
      <w:r>
        <w:t xml:space="preserve"> in which the school would be converted to charter status or closed and reopened under new management, and </w:t>
      </w:r>
      <w:r w:rsidRPr="00322187">
        <w:rPr>
          <w:i/>
        </w:rPr>
        <w:t>school closure</w:t>
      </w:r>
      <w:r>
        <w:rPr>
          <w:i/>
        </w:rPr>
        <w:t>,</w:t>
      </w:r>
      <w:r>
        <w:t xml:space="preserve"> which means the school would be closed and students enrolled in district schools that were higher achieving. </w:t>
      </w:r>
    </w:p>
    <w:p w14:paraId="3616F4C4" w14:textId="77777777" w:rsidR="004F5A50" w:rsidRDefault="004F5A50" w:rsidP="0029756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7DCD" w14:textId="00CCB3E5" w:rsidR="004F5A50" w:rsidRDefault="004F5A50">
    <w:pPr>
      <w:pStyle w:val="Header"/>
      <w:rPr>
        <w:b/>
        <w:i/>
      </w:rPr>
    </w:pPr>
    <w:r>
      <w:rPr>
        <w:b/>
        <w:i/>
      </w:rPr>
      <w:t xml:space="preserve">Revised draft, January, 2016 </w:t>
    </w:r>
  </w:p>
  <w:p w14:paraId="03C2050E" w14:textId="77777777" w:rsidR="004F5A50" w:rsidRPr="0099172E" w:rsidRDefault="004F5A50">
    <w:pPr>
      <w:pStyle w:val="Header"/>
      <w:rPr>
        <w:b/>
        <w:i/>
      </w:rPr>
    </w:pPr>
  </w:p>
  <w:p w14:paraId="4548ACEC" w14:textId="77777777" w:rsidR="004F5A50" w:rsidRDefault="004F5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253"/>
    <w:multiLevelType w:val="hybridMultilevel"/>
    <w:tmpl w:val="F4924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F1A4D"/>
    <w:multiLevelType w:val="hybridMultilevel"/>
    <w:tmpl w:val="657A9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53BD3"/>
    <w:multiLevelType w:val="hybridMultilevel"/>
    <w:tmpl w:val="584E0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A5BCC"/>
    <w:multiLevelType w:val="hybridMultilevel"/>
    <w:tmpl w:val="EF56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3415D"/>
    <w:multiLevelType w:val="hybridMultilevel"/>
    <w:tmpl w:val="C734B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B30EC"/>
    <w:multiLevelType w:val="hybridMultilevel"/>
    <w:tmpl w:val="DDD2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C53AE"/>
    <w:multiLevelType w:val="hybridMultilevel"/>
    <w:tmpl w:val="B80A0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81867730">
    <w:abstractNumId w:val="4"/>
  </w:num>
  <w:num w:numId="2" w16cid:durableId="475033093">
    <w:abstractNumId w:val="1"/>
  </w:num>
  <w:num w:numId="3" w16cid:durableId="619915126">
    <w:abstractNumId w:val="6"/>
  </w:num>
  <w:num w:numId="4" w16cid:durableId="502748805">
    <w:abstractNumId w:val="2"/>
  </w:num>
  <w:num w:numId="5" w16cid:durableId="152840395">
    <w:abstractNumId w:val="0"/>
  </w:num>
  <w:num w:numId="6" w16cid:durableId="569388239">
    <w:abstractNumId w:val="3"/>
  </w:num>
  <w:num w:numId="7" w16cid:durableId="346179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DE"/>
    <w:rsid w:val="00001189"/>
    <w:rsid w:val="0000562E"/>
    <w:rsid w:val="00012B3A"/>
    <w:rsid w:val="00012D17"/>
    <w:rsid w:val="000130F9"/>
    <w:rsid w:val="00020C87"/>
    <w:rsid w:val="00020EB9"/>
    <w:rsid w:val="0002338E"/>
    <w:rsid w:val="00033F7C"/>
    <w:rsid w:val="00042B88"/>
    <w:rsid w:val="00046389"/>
    <w:rsid w:val="00050646"/>
    <w:rsid w:val="00053860"/>
    <w:rsid w:val="00057A17"/>
    <w:rsid w:val="000621C3"/>
    <w:rsid w:val="00091C3B"/>
    <w:rsid w:val="00095D3A"/>
    <w:rsid w:val="000A23F3"/>
    <w:rsid w:val="000A5578"/>
    <w:rsid w:val="000B38F1"/>
    <w:rsid w:val="000B5165"/>
    <w:rsid w:val="000B640D"/>
    <w:rsid w:val="000C2B92"/>
    <w:rsid w:val="000C7AA4"/>
    <w:rsid w:val="000C7C18"/>
    <w:rsid w:val="000D06B6"/>
    <w:rsid w:val="000D78F9"/>
    <w:rsid w:val="000E170E"/>
    <w:rsid w:val="000F527B"/>
    <w:rsid w:val="000F5B4F"/>
    <w:rsid w:val="001011FB"/>
    <w:rsid w:val="00132A04"/>
    <w:rsid w:val="00133761"/>
    <w:rsid w:val="00136769"/>
    <w:rsid w:val="0013735A"/>
    <w:rsid w:val="00150DC6"/>
    <w:rsid w:val="00153136"/>
    <w:rsid w:val="00160CEC"/>
    <w:rsid w:val="00163FA4"/>
    <w:rsid w:val="001936C4"/>
    <w:rsid w:val="001A4561"/>
    <w:rsid w:val="001B1774"/>
    <w:rsid w:val="001C5753"/>
    <w:rsid w:val="001C68B4"/>
    <w:rsid w:val="001D30B7"/>
    <w:rsid w:val="001D4862"/>
    <w:rsid w:val="001D656A"/>
    <w:rsid w:val="001E2CD4"/>
    <w:rsid w:val="001E341A"/>
    <w:rsid w:val="001E40FE"/>
    <w:rsid w:val="001F78AD"/>
    <w:rsid w:val="002042DB"/>
    <w:rsid w:val="002043C0"/>
    <w:rsid w:val="00207801"/>
    <w:rsid w:val="0021580C"/>
    <w:rsid w:val="00221E9F"/>
    <w:rsid w:val="00222975"/>
    <w:rsid w:val="00224A90"/>
    <w:rsid w:val="00233B4F"/>
    <w:rsid w:val="00234DFB"/>
    <w:rsid w:val="00235884"/>
    <w:rsid w:val="00235B48"/>
    <w:rsid w:val="00236772"/>
    <w:rsid w:val="00241BBF"/>
    <w:rsid w:val="0024570B"/>
    <w:rsid w:val="002531C6"/>
    <w:rsid w:val="00256B85"/>
    <w:rsid w:val="002604E2"/>
    <w:rsid w:val="00260F90"/>
    <w:rsid w:val="00261EE8"/>
    <w:rsid w:val="002660A0"/>
    <w:rsid w:val="002902D6"/>
    <w:rsid w:val="002928AE"/>
    <w:rsid w:val="0029756F"/>
    <w:rsid w:val="0029781D"/>
    <w:rsid w:val="002A2462"/>
    <w:rsid w:val="002A38DE"/>
    <w:rsid w:val="002A58FA"/>
    <w:rsid w:val="002B59C1"/>
    <w:rsid w:val="002C0C70"/>
    <w:rsid w:val="002C3779"/>
    <w:rsid w:val="002C66BE"/>
    <w:rsid w:val="002C71A7"/>
    <w:rsid w:val="002D2534"/>
    <w:rsid w:val="002E17FE"/>
    <w:rsid w:val="002F435D"/>
    <w:rsid w:val="002F47C9"/>
    <w:rsid w:val="002F493A"/>
    <w:rsid w:val="002F5726"/>
    <w:rsid w:val="00300980"/>
    <w:rsid w:val="003071EE"/>
    <w:rsid w:val="0031287C"/>
    <w:rsid w:val="003150F7"/>
    <w:rsid w:val="00333849"/>
    <w:rsid w:val="00345946"/>
    <w:rsid w:val="00346539"/>
    <w:rsid w:val="0035005E"/>
    <w:rsid w:val="003816D5"/>
    <w:rsid w:val="00383795"/>
    <w:rsid w:val="0038619D"/>
    <w:rsid w:val="0039179F"/>
    <w:rsid w:val="00393325"/>
    <w:rsid w:val="00394278"/>
    <w:rsid w:val="003A2022"/>
    <w:rsid w:val="003B7B44"/>
    <w:rsid w:val="003C6371"/>
    <w:rsid w:val="003E2513"/>
    <w:rsid w:val="003E26C2"/>
    <w:rsid w:val="003F138A"/>
    <w:rsid w:val="003F2F94"/>
    <w:rsid w:val="00420D78"/>
    <w:rsid w:val="004270EB"/>
    <w:rsid w:val="00427C55"/>
    <w:rsid w:val="00433AC9"/>
    <w:rsid w:val="00436709"/>
    <w:rsid w:val="00454AFA"/>
    <w:rsid w:val="00460382"/>
    <w:rsid w:val="0046073D"/>
    <w:rsid w:val="00477286"/>
    <w:rsid w:val="00480F90"/>
    <w:rsid w:val="00481E40"/>
    <w:rsid w:val="00482D4E"/>
    <w:rsid w:val="004942E8"/>
    <w:rsid w:val="00495084"/>
    <w:rsid w:val="004A6420"/>
    <w:rsid w:val="004D3445"/>
    <w:rsid w:val="004D41FC"/>
    <w:rsid w:val="004E054A"/>
    <w:rsid w:val="004E2CB2"/>
    <w:rsid w:val="004E5C3E"/>
    <w:rsid w:val="004F355C"/>
    <w:rsid w:val="004F5A50"/>
    <w:rsid w:val="004F69FE"/>
    <w:rsid w:val="00503D63"/>
    <w:rsid w:val="005119E5"/>
    <w:rsid w:val="00513698"/>
    <w:rsid w:val="005138E8"/>
    <w:rsid w:val="00513D91"/>
    <w:rsid w:val="00513E25"/>
    <w:rsid w:val="00513E35"/>
    <w:rsid w:val="00514789"/>
    <w:rsid w:val="00522889"/>
    <w:rsid w:val="00531834"/>
    <w:rsid w:val="005349C7"/>
    <w:rsid w:val="0053637C"/>
    <w:rsid w:val="00551EAF"/>
    <w:rsid w:val="0056060B"/>
    <w:rsid w:val="00561DAD"/>
    <w:rsid w:val="005668AB"/>
    <w:rsid w:val="00573F9B"/>
    <w:rsid w:val="00576E89"/>
    <w:rsid w:val="00576FFC"/>
    <w:rsid w:val="00587A29"/>
    <w:rsid w:val="005979AE"/>
    <w:rsid w:val="005A2DA6"/>
    <w:rsid w:val="005A5616"/>
    <w:rsid w:val="005B7286"/>
    <w:rsid w:val="005C4C6C"/>
    <w:rsid w:val="005D35D1"/>
    <w:rsid w:val="005D5CA3"/>
    <w:rsid w:val="005D6639"/>
    <w:rsid w:val="005E1337"/>
    <w:rsid w:val="005F13DC"/>
    <w:rsid w:val="005F652C"/>
    <w:rsid w:val="005F7F2E"/>
    <w:rsid w:val="0060754F"/>
    <w:rsid w:val="00610E12"/>
    <w:rsid w:val="006127A1"/>
    <w:rsid w:val="00632175"/>
    <w:rsid w:val="00632E6E"/>
    <w:rsid w:val="0063446F"/>
    <w:rsid w:val="0064045F"/>
    <w:rsid w:val="006418B0"/>
    <w:rsid w:val="00642663"/>
    <w:rsid w:val="00645A4A"/>
    <w:rsid w:val="00645CB9"/>
    <w:rsid w:val="006666A7"/>
    <w:rsid w:val="00666DBF"/>
    <w:rsid w:val="00674D8C"/>
    <w:rsid w:val="00676030"/>
    <w:rsid w:val="006769A7"/>
    <w:rsid w:val="00676CC0"/>
    <w:rsid w:val="006778A3"/>
    <w:rsid w:val="00680550"/>
    <w:rsid w:val="0068282C"/>
    <w:rsid w:val="00692684"/>
    <w:rsid w:val="006A14FA"/>
    <w:rsid w:val="006A2353"/>
    <w:rsid w:val="006A545F"/>
    <w:rsid w:val="006A7BBA"/>
    <w:rsid w:val="006B4A1B"/>
    <w:rsid w:val="006B57B7"/>
    <w:rsid w:val="006B6D87"/>
    <w:rsid w:val="006C5276"/>
    <w:rsid w:val="006D5A3C"/>
    <w:rsid w:val="006E1345"/>
    <w:rsid w:val="006E55F8"/>
    <w:rsid w:val="006F3012"/>
    <w:rsid w:val="006F60B9"/>
    <w:rsid w:val="006F7E01"/>
    <w:rsid w:val="00700261"/>
    <w:rsid w:val="00703A9A"/>
    <w:rsid w:val="007057C0"/>
    <w:rsid w:val="007108D0"/>
    <w:rsid w:val="00712FEF"/>
    <w:rsid w:val="0071759D"/>
    <w:rsid w:val="00735CDD"/>
    <w:rsid w:val="007362BC"/>
    <w:rsid w:val="00741CD9"/>
    <w:rsid w:val="00746951"/>
    <w:rsid w:val="00747B18"/>
    <w:rsid w:val="007524C9"/>
    <w:rsid w:val="00753893"/>
    <w:rsid w:val="0075598E"/>
    <w:rsid w:val="007562D6"/>
    <w:rsid w:val="00757BC5"/>
    <w:rsid w:val="00764100"/>
    <w:rsid w:val="00764B72"/>
    <w:rsid w:val="00775798"/>
    <w:rsid w:val="00783453"/>
    <w:rsid w:val="00795E2A"/>
    <w:rsid w:val="00796415"/>
    <w:rsid w:val="007A0175"/>
    <w:rsid w:val="007A3C17"/>
    <w:rsid w:val="007A4A7C"/>
    <w:rsid w:val="007A5F44"/>
    <w:rsid w:val="007B45D7"/>
    <w:rsid w:val="007B47FA"/>
    <w:rsid w:val="007C0D29"/>
    <w:rsid w:val="007C0D64"/>
    <w:rsid w:val="007C1A0F"/>
    <w:rsid w:val="007C1AE3"/>
    <w:rsid w:val="007C42D2"/>
    <w:rsid w:val="007C5ADB"/>
    <w:rsid w:val="007D027A"/>
    <w:rsid w:val="007D0531"/>
    <w:rsid w:val="007D4553"/>
    <w:rsid w:val="007D752E"/>
    <w:rsid w:val="007E2866"/>
    <w:rsid w:val="007E4FCC"/>
    <w:rsid w:val="00800CFD"/>
    <w:rsid w:val="00803225"/>
    <w:rsid w:val="00803C8D"/>
    <w:rsid w:val="008068B5"/>
    <w:rsid w:val="00812AAD"/>
    <w:rsid w:val="00813FAA"/>
    <w:rsid w:val="0082054A"/>
    <w:rsid w:val="00823838"/>
    <w:rsid w:val="00824CA7"/>
    <w:rsid w:val="008312C2"/>
    <w:rsid w:val="0084387F"/>
    <w:rsid w:val="00850690"/>
    <w:rsid w:val="00853146"/>
    <w:rsid w:val="008614F1"/>
    <w:rsid w:val="00866211"/>
    <w:rsid w:val="008751F1"/>
    <w:rsid w:val="008773D4"/>
    <w:rsid w:val="00882BEE"/>
    <w:rsid w:val="008867FC"/>
    <w:rsid w:val="008902CE"/>
    <w:rsid w:val="008A3547"/>
    <w:rsid w:val="008A3939"/>
    <w:rsid w:val="008A572E"/>
    <w:rsid w:val="008A6E15"/>
    <w:rsid w:val="008B62B4"/>
    <w:rsid w:val="008B75CF"/>
    <w:rsid w:val="008D31B3"/>
    <w:rsid w:val="008D3C8A"/>
    <w:rsid w:val="008D5178"/>
    <w:rsid w:val="008D624B"/>
    <w:rsid w:val="008E1A55"/>
    <w:rsid w:val="00910F65"/>
    <w:rsid w:val="00911CE2"/>
    <w:rsid w:val="009131D6"/>
    <w:rsid w:val="00923B83"/>
    <w:rsid w:val="009253DC"/>
    <w:rsid w:val="00931721"/>
    <w:rsid w:val="00935E0D"/>
    <w:rsid w:val="0093603C"/>
    <w:rsid w:val="00952F59"/>
    <w:rsid w:val="00953A1E"/>
    <w:rsid w:val="0095667A"/>
    <w:rsid w:val="009625A1"/>
    <w:rsid w:val="00964CC0"/>
    <w:rsid w:val="00967C55"/>
    <w:rsid w:val="009703B6"/>
    <w:rsid w:val="00974C1C"/>
    <w:rsid w:val="00984C39"/>
    <w:rsid w:val="0099172E"/>
    <w:rsid w:val="00991E26"/>
    <w:rsid w:val="00997E85"/>
    <w:rsid w:val="009B04A4"/>
    <w:rsid w:val="009B4265"/>
    <w:rsid w:val="009B5ED0"/>
    <w:rsid w:val="009C4031"/>
    <w:rsid w:val="009C4E0C"/>
    <w:rsid w:val="009C7B1C"/>
    <w:rsid w:val="009D46E9"/>
    <w:rsid w:val="009D505C"/>
    <w:rsid w:val="009D5CCB"/>
    <w:rsid w:val="009E2216"/>
    <w:rsid w:val="009E2DE8"/>
    <w:rsid w:val="009E2EB4"/>
    <w:rsid w:val="009E6DF2"/>
    <w:rsid w:val="009F0F4D"/>
    <w:rsid w:val="009F2041"/>
    <w:rsid w:val="00A00539"/>
    <w:rsid w:val="00A05126"/>
    <w:rsid w:val="00A106A2"/>
    <w:rsid w:val="00A11389"/>
    <w:rsid w:val="00A154C8"/>
    <w:rsid w:val="00A17FC7"/>
    <w:rsid w:val="00A23BC6"/>
    <w:rsid w:val="00A44EFE"/>
    <w:rsid w:val="00A51A57"/>
    <w:rsid w:val="00A51BF4"/>
    <w:rsid w:val="00A52602"/>
    <w:rsid w:val="00A53869"/>
    <w:rsid w:val="00A616D1"/>
    <w:rsid w:val="00A66752"/>
    <w:rsid w:val="00A8272F"/>
    <w:rsid w:val="00A8410E"/>
    <w:rsid w:val="00A851FD"/>
    <w:rsid w:val="00A874B0"/>
    <w:rsid w:val="00A87FDC"/>
    <w:rsid w:val="00A908CA"/>
    <w:rsid w:val="00A9429E"/>
    <w:rsid w:val="00A97902"/>
    <w:rsid w:val="00AA2279"/>
    <w:rsid w:val="00AB4A0D"/>
    <w:rsid w:val="00AB6C10"/>
    <w:rsid w:val="00AD2154"/>
    <w:rsid w:val="00AD489D"/>
    <w:rsid w:val="00AD7784"/>
    <w:rsid w:val="00AE777A"/>
    <w:rsid w:val="00AF01E7"/>
    <w:rsid w:val="00AF4038"/>
    <w:rsid w:val="00B02001"/>
    <w:rsid w:val="00B062CF"/>
    <w:rsid w:val="00B07025"/>
    <w:rsid w:val="00B26D79"/>
    <w:rsid w:val="00B302BD"/>
    <w:rsid w:val="00B37BBC"/>
    <w:rsid w:val="00B409B5"/>
    <w:rsid w:val="00B44029"/>
    <w:rsid w:val="00B50703"/>
    <w:rsid w:val="00B514A1"/>
    <w:rsid w:val="00B66758"/>
    <w:rsid w:val="00B73BB5"/>
    <w:rsid w:val="00B8086A"/>
    <w:rsid w:val="00B90557"/>
    <w:rsid w:val="00BB33B0"/>
    <w:rsid w:val="00BD0208"/>
    <w:rsid w:val="00BF3866"/>
    <w:rsid w:val="00BF5FF9"/>
    <w:rsid w:val="00BF657D"/>
    <w:rsid w:val="00BF6888"/>
    <w:rsid w:val="00BF77BA"/>
    <w:rsid w:val="00C03C3C"/>
    <w:rsid w:val="00C14CC1"/>
    <w:rsid w:val="00C2049C"/>
    <w:rsid w:val="00C21510"/>
    <w:rsid w:val="00C217B1"/>
    <w:rsid w:val="00C217E0"/>
    <w:rsid w:val="00C23BF3"/>
    <w:rsid w:val="00C313AD"/>
    <w:rsid w:val="00C32380"/>
    <w:rsid w:val="00C32F8D"/>
    <w:rsid w:val="00C344FA"/>
    <w:rsid w:val="00C6178D"/>
    <w:rsid w:val="00C6672F"/>
    <w:rsid w:val="00C71280"/>
    <w:rsid w:val="00C763B9"/>
    <w:rsid w:val="00C80ECE"/>
    <w:rsid w:val="00C87153"/>
    <w:rsid w:val="00C94196"/>
    <w:rsid w:val="00C946F2"/>
    <w:rsid w:val="00C9600E"/>
    <w:rsid w:val="00C96E09"/>
    <w:rsid w:val="00CA74D4"/>
    <w:rsid w:val="00CB7B9A"/>
    <w:rsid w:val="00CC54F9"/>
    <w:rsid w:val="00CC74F2"/>
    <w:rsid w:val="00CD335A"/>
    <w:rsid w:val="00CD37B8"/>
    <w:rsid w:val="00CD7ED3"/>
    <w:rsid w:val="00CE16BF"/>
    <w:rsid w:val="00CE4C8A"/>
    <w:rsid w:val="00CF2C65"/>
    <w:rsid w:val="00CF2EBD"/>
    <w:rsid w:val="00CF3CCA"/>
    <w:rsid w:val="00D01353"/>
    <w:rsid w:val="00D0291D"/>
    <w:rsid w:val="00D06CCD"/>
    <w:rsid w:val="00D06EFF"/>
    <w:rsid w:val="00D17873"/>
    <w:rsid w:val="00D24FA0"/>
    <w:rsid w:val="00D27699"/>
    <w:rsid w:val="00D3702D"/>
    <w:rsid w:val="00D50478"/>
    <w:rsid w:val="00D535B4"/>
    <w:rsid w:val="00D53E69"/>
    <w:rsid w:val="00D57CA9"/>
    <w:rsid w:val="00D602C6"/>
    <w:rsid w:val="00D62F79"/>
    <w:rsid w:val="00D8324C"/>
    <w:rsid w:val="00D8391F"/>
    <w:rsid w:val="00DA12A2"/>
    <w:rsid w:val="00DB4FAD"/>
    <w:rsid w:val="00DB540A"/>
    <w:rsid w:val="00DD2734"/>
    <w:rsid w:val="00DD579C"/>
    <w:rsid w:val="00DD60AA"/>
    <w:rsid w:val="00DE0198"/>
    <w:rsid w:val="00DE2E24"/>
    <w:rsid w:val="00DF0B12"/>
    <w:rsid w:val="00DF2BC7"/>
    <w:rsid w:val="00DF5403"/>
    <w:rsid w:val="00E0643C"/>
    <w:rsid w:val="00E1255C"/>
    <w:rsid w:val="00E145E4"/>
    <w:rsid w:val="00E22BB0"/>
    <w:rsid w:val="00E2588E"/>
    <w:rsid w:val="00E26256"/>
    <w:rsid w:val="00E323AC"/>
    <w:rsid w:val="00E449A5"/>
    <w:rsid w:val="00E54F9A"/>
    <w:rsid w:val="00E61F1C"/>
    <w:rsid w:val="00E62491"/>
    <w:rsid w:val="00E66BEA"/>
    <w:rsid w:val="00E73360"/>
    <w:rsid w:val="00E74158"/>
    <w:rsid w:val="00E81891"/>
    <w:rsid w:val="00E84E08"/>
    <w:rsid w:val="00E87B78"/>
    <w:rsid w:val="00E87C47"/>
    <w:rsid w:val="00E87FCC"/>
    <w:rsid w:val="00E92BA3"/>
    <w:rsid w:val="00E95F79"/>
    <w:rsid w:val="00EB5930"/>
    <w:rsid w:val="00EB6099"/>
    <w:rsid w:val="00EB69CC"/>
    <w:rsid w:val="00EC0224"/>
    <w:rsid w:val="00EC5A92"/>
    <w:rsid w:val="00ED2E7B"/>
    <w:rsid w:val="00EE0C4E"/>
    <w:rsid w:val="00EE3418"/>
    <w:rsid w:val="00F15A4C"/>
    <w:rsid w:val="00F313A1"/>
    <w:rsid w:val="00F4110B"/>
    <w:rsid w:val="00F46C0E"/>
    <w:rsid w:val="00F50072"/>
    <w:rsid w:val="00F61B0F"/>
    <w:rsid w:val="00F6528A"/>
    <w:rsid w:val="00F6737B"/>
    <w:rsid w:val="00F7127E"/>
    <w:rsid w:val="00F73815"/>
    <w:rsid w:val="00F80396"/>
    <w:rsid w:val="00F808F4"/>
    <w:rsid w:val="00F815A2"/>
    <w:rsid w:val="00F87FA6"/>
    <w:rsid w:val="00F90516"/>
    <w:rsid w:val="00F925A2"/>
    <w:rsid w:val="00FB1DC0"/>
    <w:rsid w:val="00FB7374"/>
    <w:rsid w:val="00FC5742"/>
    <w:rsid w:val="00FC7499"/>
    <w:rsid w:val="00FD043E"/>
    <w:rsid w:val="00FE1097"/>
    <w:rsid w:val="00FE2E00"/>
    <w:rsid w:val="00FE30D5"/>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68CA"/>
  <w15:docId w15:val="{D994CD56-7102-4FCA-BE43-6A9B5CBD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D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8DE"/>
    <w:pPr>
      <w:ind w:left="720"/>
      <w:contextualSpacing/>
    </w:pPr>
  </w:style>
  <w:style w:type="paragraph" w:styleId="FootnoteText">
    <w:name w:val="footnote text"/>
    <w:basedOn w:val="Normal"/>
    <w:link w:val="FootnoteTextChar"/>
    <w:uiPriority w:val="99"/>
    <w:semiHidden/>
    <w:unhideWhenUsed/>
    <w:rsid w:val="006B6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D87"/>
    <w:rPr>
      <w:rFonts w:eastAsiaTheme="minorEastAsia"/>
      <w:sz w:val="20"/>
      <w:szCs w:val="20"/>
    </w:rPr>
  </w:style>
  <w:style w:type="character" w:styleId="FootnoteReference">
    <w:name w:val="footnote reference"/>
    <w:basedOn w:val="DefaultParagraphFont"/>
    <w:uiPriority w:val="99"/>
    <w:semiHidden/>
    <w:unhideWhenUsed/>
    <w:rsid w:val="006B6D87"/>
    <w:rPr>
      <w:vertAlign w:val="superscript"/>
    </w:rPr>
  </w:style>
  <w:style w:type="paragraph" w:styleId="Header">
    <w:name w:val="header"/>
    <w:basedOn w:val="Normal"/>
    <w:link w:val="HeaderChar"/>
    <w:uiPriority w:val="99"/>
    <w:unhideWhenUsed/>
    <w:rsid w:val="00640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45F"/>
    <w:rPr>
      <w:rFonts w:eastAsiaTheme="minorEastAsia"/>
    </w:rPr>
  </w:style>
  <w:style w:type="paragraph" w:styleId="Footer">
    <w:name w:val="footer"/>
    <w:basedOn w:val="Normal"/>
    <w:link w:val="FooterChar"/>
    <w:uiPriority w:val="99"/>
    <w:unhideWhenUsed/>
    <w:rsid w:val="00640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45F"/>
    <w:rPr>
      <w:rFonts w:eastAsiaTheme="minorEastAsia"/>
    </w:rPr>
  </w:style>
  <w:style w:type="table" w:styleId="TableGrid">
    <w:name w:val="Table Grid"/>
    <w:basedOn w:val="TableNormal"/>
    <w:uiPriority w:val="39"/>
    <w:rsid w:val="0013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EFE"/>
    <w:rPr>
      <w:rFonts w:ascii="Segoe UI" w:eastAsiaTheme="minorEastAsia" w:hAnsi="Segoe UI" w:cs="Segoe UI"/>
      <w:sz w:val="18"/>
      <w:szCs w:val="18"/>
    </w:rPr>
  </w:style>
  <w:style w:type="paragraph" w:styleId="NormalWeb">
    <w:name w:val="Normal (Web)"/>
    <w:basedOn w:val="Normal"/>
    <w:uiPriority w:val="99"/>
    <w:semiHidden/>
    <w:unhideWhenUsed/>
    <w:rsid w:val="006A54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14FA"/>
    <w:rPr>
      <w:color w:val="0563C1"/>
      <w:u w:val="single"/>
    </w:rPr>
  </w:style>
  <w:style w:type="paragraph" w:styleId="EndnoteText">
    <w:name w:val="endnote text"/>
    <w:basedOn w:val="Normal"/>
    <w:link w:val="EndnoteTextChar"/>
    <w:uiPriority w:val="99"/>
    <w:semiHidden/>
    <w:unhideWhenUsed/>
    <w:rsid w:val="002902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2D6"/>
    <w:rPr>
      <w:rFonts w:eastAsiaTheme="minorEastAsia"/>
      <w:sz w:val="20"/>
      <w:szCs w:val="20"/>
    </w:rPr>
  </w:style>
  <w:style w:type="character" w:styleId="EndnoteReference">
    <w:name w:val="endnote reference"/>
    <w:basedOn w:val="DefaultParagraphFont"/>
    <w:uiPriority w:val="99"/>
    <w:semiHidden/>
    <w:unhideWhenUsed/>
    <w:rsid w:val="002902D6"/>
    <w:rPr>
      <w:vertAlign w:val="superscript"/>
    </w:rPr>
  </w:style>
  <w:style w:type="character" w:styleId="CommentReference">
    <w:name w:val="annotation reference"/>
    <w:basedOn w:val="DefaultParagraphFont"/>
    <w:uiPriority w:val="99"/>
    <w:semiHidden/>
    <w:unhideWhenUsed/>
    <w:rsid w:val="00757BC5"/>
    <w:rPr>
      <w:sz w:val="16"/>
      <w:szCs w:val="16"/>
    </w:rPr>
  </w:style>
  <w:style w:type="paragraph" w:styleId="CommentText">
    <w:name w:val="annotation text"/>
    <w:basedOn w:val="Normal"/>
    <w:link w:val="CommentTextChar"/>
    <w:uiPriority w:val="99"/>
    <w:semiHidden/>
    <w:unhideWhenUsed/>
    <w:rsid w:val="00757BC5"/>
    <w:pPr>
      <w:spacing w:line="240" w:lineRule="auto"/>
    </w:pPr>
    <w:rPr>
      <w:sz w:val="20"/>
      <w:szCs w:val="20"/>
    </w:rPr>
  </w:style>
  <w:style w:type="character" w:customStyle="1" w:styleId="CommentTextChar">
    <w:name w:val="Comment Text Char"/>
    <w:basedOn w:val="DefaultParagraphFont"/>
    <w:link w:val="CommentText"/>
    <w:uiPriority w:val="99"/>
    <w:semiHidden/>
    <w:rsid w:val="00757B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57BC5"/>
    <w:rPr>
      <w:b/>
      <w:bCs/>
    </w:rPr>
  </w:style>
  <w:style w:type="character" w:customStyle="1" w:styleId="CommentSubjectChar">
    <w:name w:val="Comment Subject Char"/>
    <w:basedOn w:val="CommentTextChar"/>
    <w:link w:val="CommentSubject"/>
    <w:uiPriority w:val="99"/>
    <w:semiHidden/>
    <w:rsid w:val="00757BC5"/>
    <w:rPr>
      <w:rFonts w:eastAsiaTheme="minorEastAsia"/>
      <w:b/>
      <w:bCs/>
      <w:sz w:val="20"/>
      <w:szCs w:val="20"/>
    </w:rPr>
  </w:style>
  <w:style w:type="paragraph" w:styleId="Revision">
    <w:name w:val="Revision"/>
    <w:hidden/>
    <w:uiPriority w:val="99"/>
    <w:semiHidden/>
    <w:rsid w:val="00764B7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56913">
      <w:bodyDiv w:val="1"/>
      <w:marLeft w:val="0"/>
      <w:marRight w:val="0"/>
      <w:marTop w:val="0"/>
      <w:marBottom w:val="0"/>
      <w:divBdr>
        <w:top w:val="none" w:sz="0" w:space="0" w:color="auto"/>
        <w:left w:val="none" w:sz="0" w:space="0" w:color="auto"/>
        <w:bottom w:val="none" w:sz="0" w:space="0" w:color="auto"/>
        <w:right w:val="none" w:sz="0" w:space="0" w:color="auto"/>
      </w:divBdr>
    </w:div>
    <w:div w:id="689330750">
      <w:bodyDiv w:val="1"/>
      <w:marLeft w:val="0"/>
      <w:marRight w:val="0"/>
      <w:marTop w:val="0"/>
      <w:marBottom w:val="0"/>
      <w:divBdr>
        <w:top w:val="none" w:sz="0" w:space="0" w:color="auto"/>
        <w:left w:val="none" w:sz="0" w:space="0" w:color="auto"/>
        <w:bottom w:val="none" w:sz="0" w:space="0" w:color="auto"/>
        <w:right w:val="none" w:sz="0" w:space="0" w:color="auto"/>
      </w:divBdr>
    </w:div>
    <w:div w:id="793518078">
      <w:bodyDiv w:val="1"/>
      <w:marLeft w:val="0"/>
      <w:marRight w:val="0"/>
      <w:marTop w:val="0"/>
      <w:marBottom w:val="0"/>
      <w:divBdr>
        <w:top w:val="none" w:sz="0" w:space="0" w:color="auto"/>
        <w:left w:val="none" w:sz="0" w:space="0" w:color="auto"/>
        <w:bottom w:val="none" w:sz="0" w:space="0" w:color="auto"/>
        <w:right w:val="none" w:sz="0" w:space="0" w:color="auto"/>
      </w:divBdr>
    </w:div>
    <w:div w:id="867060084">
      <w:bodyDiv w:val="1"/>
      <w:marLeft w:val="0"/>
      <w:marRight w:val="0"/>
      <w:marTop w:val="0"/>
      <w:marBottom w:val="0"/>
      <w:divBdr>
        <w:top w:val="none" w:sz="0" w:space="0" w:color="auto"/>
        <w:left w:val="none" w:sz="0" w:space="0" w:color="auto"/>
        <w:bottom w:val="none" w:sz="0" w:space="0" w:color="auto"/>
        <w:right w:val="none" w:sz="0" w:space="0" w:color="auto"/>
      </w:divBdr>
    </w:div>
    <w:div w:id="981545145">
      <w:bodyDiv w:val="1"/>
      <w:marLeft w:val="0"/>
      <w:marRight w:val="0"/>
      <w:marTop w:val="0"/>
      <w:marBottom w:val="0"/>
      <w:divBdr>
        <w:top w:val="none" w:sz="0" w:space="0" w:color="auto"/>
        <w:left w:val="none" w:sz="0" w:space="0" w:color="auto"/>
        <w:bottom w:val="none" w:sz="0" w:space="0" w:color="auto"/>
        <w:right w:val="none" w:sz="0" w:space="0" w:color="auto"/>
      </w:divBdr>
    </w:div>
    <w:div w:id="1199901711">
      <w:bodyDiv w:val="1"/>
      <w:marLeft w:val="0"/>
      <w:marRight w:val="0"/>
      <w:marTop w:val="0"/>
      <w:marBottom w:val="0"/>
      <w:divBdr>
        <w:top w:val="none" w:sz="0" w:space="0" w:color="auto"/>
        <w:left w:val="none" w:sz="0" w:space="0" w:color="auto"/>
        <w:bottom w:val="none" w:sz="0" w:space="0" w:color="auto"/>
        <w:right w:val="none" w:sz="0" w:space="0" w:color="auto"/>
      </w:divBdr>
    </w:div>
    <w:div w:id="1420829262">
      <w:bodyDiv w:val="1"/>
      <w:marLeft w:val="0"/>
      <w:marRight w:val="0"/>
      <w:marTop w:val="0"/>
      <w:marBottom w:val="0"/>
      <w:divBdr>
        <w:top w:val="none" w:sz="0" w:space="0" w:color="auto"/>
        <w:left w:val="none" w:sz="0" w:space="0" w:color="auto"/>
        <w:bottom w:val="none" w:sz="0" w:space="0" w:color="auto"/>
        <w:right w:val="none" w:sz="0" w:space="0" w:color="auto"/>
      </w:divBdr>
    </w:div>
    <w:div w:id="1504467767">
      <w:bodyDiv w:val="1"/>
      <w:marLeft w:val="0"/>
      <w:marRight w:val="0"/>
      <w:marTop w:val="0"/>
      <w:marBottom w:val="0"/>
      <w:divBdr>
        <w:top w:val="none" w:sz="0" w:space="0" w:color="auto"/>
        <w:left w:val="none" w:sz="0" w:space="0" w:color="auto"/>
        <w:bottom w:val="none" w:sz="0" w:space="0" w:color="auto"/>
        <w:right w:val="none" w:sz="0" w:space="0" w:color="auto"/>
      </w:divBdr>
    </w:div>
    <w:div w:id="16990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dd@duke.edu" TargetMode="External"/><Relationship Id="rId13" Type="http://schemas.openxmlformats.org/officeDocument/2006/relationships/chart" Target="charts/chart4.xml"/><Relationship Id="rId18" Type="http://schemas.openxmlformats.org/officeDocument/2006/relationships/hyperlink" Target="http://www1.learningtrust.co.uk/news_and_events/docs/OFSTED_report03.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reports.ofsted.gov.uk/sites/default/files/documents/local_authority_reports/tower_hamlets/009_Local%20Authority%20Inspection%20as%20pdf.pdf" TargetMode="External"/><Relationship Id="rId2" Type="http://schemas.openxmlformats.org/officeDocument/2006/relationships/numbering" Target="numbering.xml"/><Relationship Id="rId16" Type="http://schemas.openxmlformats.org/officeDocument/2006/relationships/hyperlink" Target="http://reports.ofsted.gov.uk/sites/default/files/documents/local_authority_reports/tower_hamlets/022_Local%20Authority%20Inspection%20as%20pd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national-curriculum-assessments-at-key-stage-2-2014-revised" TargetMode="External"/><Relationship Id="rId5" Type="http://schemas.openxmlformats.org/officeDocument/2006/relationships/webSettings" Target="webSettings.xml"/><Relationship Id="rId15" Type="http://schemas.openxmlformats.org/officeDocument/2006/relationships/hyperlink" Target="http://eprints.ioe.ac.uk/1436/1/Beard2000ResearchandtheNational421.pdf" TargetMode="Externa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education.gov.uk/schools/performance/2011/download_data.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ladd\Dropbox\London%20shared\data\Demographic%20%20and%20test%20score%20data%20Hackney%20and%20Tower%20Hamlet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Figure 1a. Pupil</a:t>
            </a:r>
            <a:r>
              <a:rPr lang="en-US" sz="1400" baseline="0"/>
              <a:t> performance in Tower Hamlets </a:t>
            </a:r>
            <a:endParaRPr lang="en-US" sz="1400"/>
          </a:p>
        </c:rich>
      </c:tx>
      <c:overlay val="0"/>
    </c:title>
    <c:autoTitleDeleted val="0"/>
    <c:plotArea>
      <c:layout/>
      <c:lineChart>
        <c:grouping val="standard"/>
        <c:varyColors val="0"/>
        <c:ser>
          <c:idx val="1"/>
          <c:order val="0"/>
          <c:tx>
            <c:strRef>
              <c:f>'New Figures'!$K$5</c:f>
              <c:strCache>
                <c:ptCount val="1"/>
                <c:pt idx="0">
                  <c:v>Tower Hamlets (sum of three subjects)</c:v>
                </c:pt>
              </c:strCache>
            </c:strRef>
          </c:tx>
          <c:marker>
            <c:symbol val="none"/>
          </c:marker>
          <c:cat>
            <c:numRef>
              <c:f>'New Figures'!$J$6:$J$24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Figures'!$K$6:$K$24</c:f>
              <c:numCache>
                <c:formatCode>General</c:formatCode>
                <c:ptCount val="19"/>
                <c:pt idx="0">
                  <c:v>122.4</c:v>
                </c:pt>
                <c:pt idx="1">
                  <c:v>151.19999999999999</c:v>
                </c:pt>
                <c:pt idx="2">
                  <c:v>150.6</c:v>
                </c:pt>
                <c:pt idx="3">
                  <c:v>188.6</c:v>
                </c:pt>
                <c:pt idx="4">
                  <c:v>215.3</c:v>
                </c:pt>
                <c:pt idx="5">
                  <c:v>225.8</c:v>
                </c:pt>
                <c:pt idx="6">
                  <c:v>222.4</c:v>
                </c:pt>
                <c:pt idx="7">
                  <c:v>228.6</c:v>
                </c:pt>
                <c:pt idx="8">
                  <c:v>237</c:v>
                </c:pt>
                <c:pt idx="9">
                  <c:v>238</c:v>
                </c:pt>
                <c:pt idx="10">
                  <c:v>244</c:v>
                </c:pt>
                <c:pt idx="11">
                  <c:v>246</c:v>
                </c:pt>
                <c:pt idx="12">
                  <c:v>249</c:v>
                </c:pt>
                <c:pt idx="13">
                  <c:v>248</c:v>
                </c:pt>
              </c:numCache>
            </c:numRef>
          </c:val>
          <c:smooth val="0"/>
          <c:extLst>
            <c:ext xmlns:c16="http://schemas.microsoft.com/office/drawing/2014/chart" uri="{C3380CC4-5D6E-409C-BE32-E72D297353CC}">
              <c16:uniqueId val="{00000000-6011-45D5-A2A7-D4D7FC40CB09}"/>
            </c:ext>
          </c:extLst>
        </c:ser>
        <c:ser>
          <c:idx val="2"/>
          <c:order val="1"/>
          <c:tx>
            <c:strRef>
              <c:f>'New Figures'!$L$5</c:f>
              <c:strCache>
                <c:ptCount val="1"/>
                <c:pt idx="0">
                  <c:v>National (sum of three subjects)</c:v>
                </c:pt>
              </c:strCache>
            </c:strRef>
          </c:tx>
          <c:marker>
            <c:symbol val="none"/>
          </c:marker>
          <c:cat>
            <c:numRef>
              <c:f>'New Figures'!$J$6:$J$24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Figures'!$L$6:$L$24</c:f>
              <c:numCache>
                <c:formatCode>General</c:formatCode>
                <c:ptCount val="19"/>
                <c:pt idx="0">
                  <c:v>170.7</c:v>
                </c:pt>
                <c:pt idx="1">
                  <c:v>191.9</c:v>
                </c:pt>
                <c:pt idx="2">
                  <c:v>190.6</c:v>
                </c:pt>
                <c:pt idx="3">
                  <c:v>215.8</c:v>
                </c:pt>
                <c:pt idx="4">
                  <c:v>231</c:v>
                </c:pt>
                <c:pt idx="5">
                  <c:v>233</c:v>
                </c:pt>
                <c:pt idx="6">
                  <c:v>234</c:v>
                </c:pt>
                <c:pt idx="7">
                  <c:v>234</c:v>
                </c:pt>
                <c:pt idx="8">
                  <c:v>237</c:v>
                </c:pt>
                <c:pt idx="9">
                  <c:v>240</c:v>
                </c:pt>
                <c:pt idx="10">
                  <c:v>242</c:v>
                </c:pt>
                <c:pt idx="11">
                  <c:v>245</c:v>
                </c:pt>
                <c:pt idx="12">
                  <c:v>248</c:v>
                </c:pt>
                <c:pt idx="13">
                  <c:v>247</c:v>
                </c:pt>
              </c:numCache>
            </c:numRef>
          </c:val>
          <c:smooth val="0"/>
          <c:extLst>
            <c:ext xmlns:c16="http://schemas.microsoft.com/office/drawing/2014/chart" uri="{C3380CC4-5D6E-409C-BE32-E72D297353CC}">
              <c16:uniqueId val="{00000001-6011-45D5-A2A7-D4D7FC40CB09}"/>
            </c:ext>
          </c:extLst>
        </c:ser>
        <c:dLbls>
          <c:showLegendKey val="0"/>
          <c:showVal val="0"/>
          <c:showCatName val="0"/>
          <c:showSerName val="0"/>
          <c:showPercent val="0"/>
          <c:showBubbleSize val="0"/>
        </c:dLbls>
        <c:marker val="1"/>
        <c:smooth val="0"/>
        <c:axId val="131836080"/>
        <c:axId val="304996864"/>
      </c:lineChart>
      <c:lineChart>
        <c:grouping val="standard"/>
        <c:varyColors val="0"/>
        <c:ser>
          <c:idx val="3"/>
          <c:order val="2"/>
          <c:tx>
            <c:strRef>
              <c:f>'New Figures'!$M$5</c:f>
              <c:strCache>
                <c:ptCount val="1"/>
                <c:pt idx="0">
                  <c:v>Tower Hamlets (proficient in math and reading) </c:v>
                </c:pt>
              </c:strCache>
            </c:strRef>
          </c:tx>
          <c:marker>
            <c:symbol val="none"/>
          </c:marker>
          <c:cat>
            <c:numRef>
              <c:f>'New Figures'!$J$6:$J$24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Figures'!$M$6:$M$24</c:f>
              <c:numCache>
                <c:formatCode>General</c:formatCode>
                <c:ptCount val="19"/>
                <c:pt idx="11">
                  <c:v>72</c:v>
                </c:pt>
                <c:pt idx="12">
                  <c:v>74</c:v>
                </c:pt>
                <c:pt idx="13">
                  <c:v>74</c:v>
                </c:pt>
                <c:pt idx="14">
                  <c:v>76</c:v>
                </c:pt>
                <c:pt idx="15">
                  <c:v>76</c:v>
                </c:pt>
                <c:pt idx="16">
                  <c:v>78</c:v>
                </c:pt>
                <c:pt idx="17">
                  <c:v>78</c:v>
                </c:pt>
                <c:pt idx="18">
                  <c:v>82</c:v>
                </c:pt>
              </c:numCache>
            </c:numRef>
          </c:val>
          <c:smooth val="0"/>
          <c:extLst>
            <c:ext xmlns:c16="http://schemas.microsoft.com/office/drawing/2014/chart" uri="{C3380CC4-5D6E-409C-BE32-E72D297353CC}">
              <c16:uniqueId val="{00000002-6011-45D5-A2A7-D4D7FC40CB09}"/>
            </c:ext>
          </c:extLst>
        </c:ser>
        <c:ser>
          <c:idx val="4"/>
          <c:order val="3"/>
          <c:tx>
            <c:strRef>
              <c:f>'New Figures'!$N$5</c:f>
              <c:strCache>
                <c:ptCount val="1"/>
                <c:pt idx="0">
                  <c:v>National (proficient in math and reading) </c:v>
                </c:pt>
              </c:strCache>
            </c:strRef>
          </c:tx>
          <c:marker>
            <c:symbol val="none"/>
          </c:marker>
          <c:cat>
            <c:numRef>
              <c:f>'New Figures'!$J$6:$J$24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Figures'!$N$6:$N$24</c:f>
              <c:numCache>
                <c:formatCode>General</c:formatCode>
                <c:ptCount val="19"/>
                <c:pt idx="11">
                  <c:v>71</c:v>
                </c:pt>
                <c:pt idx="12">
                  <c:v>73</c:v>
                </c:pt>
                <c:pt idx="13">
                  <c:v>72</c:v>
                </c:pt>
                <c:pt idx="14">
                  <c:v>75</c:v>
                </c:pt>
                <c:pt idx="15">
                  <c:v>75</c:v>
                </c:pt>
                <c:pt idx="16">
                  <c:v>75</c:v>
                </c:pt>
                <c:pt idx="17">
                  <c:v>76</c:v>
                </c:pt>
                <c:pt idx="18">
                  <c:v>79</c:v>
                </c:pt>
              </c:numCache>
            </c:numRef>
          </c:val>
          <c:smooth val="0"/>
          <c:extLst>
            <c:ext xmlns:c16="http://schemas.microsoft.com/office/drawing/2014/chart" uri="{C3380CC4-5D6E-409C-BE32-E72D297353CC}">
              <c16:uniqueId val="{00000003-6011-45D5-A2A7-D4D7FC40CB09}"/>
            </c:ext>
          </c:extLst>
        </c:ser>
        <c:dLbls>
          <c:showLegendKey val="0"/>
          <c:showVal val="0"/>
          <c:showCatName val="0"/>
          <c:showSerName val="0"/>
          <c:showPercent val="0"/>
          <c:showBubbleSize val="0"/>
        </c:dLbls>
        <c:marker val="1"/>
        <c:smooth val="0"/>
        <c:axId val="406843408"/>
        <c:axId val="382736112"/>
      </c:lineChart>
      <c:catAx>
        <c:axId val="131836080"/>
        <c:scaling>
          <c:orientation val="minMax"/>
        </c:scaling>
        <c:delete val="0"/>
        <c:axPos val="b"/>
        <c:numFmt formatCode="General" sourceLinked="1"/>
        <c:majorTickMark val="out"/>
        <c:minorTickMark val="none"/>
        <c:tickLblPos val="nextTo"/>
        <c:crossAx val="304996864"/>
        <c:crosses val="autoZero"/>
        <c:auto val="1"/>
        <c:lblAlgn val="ctr"/>
        <c:lblOffset val="100"/>
        <c:noMultiLvlLbl val="0"/>
      </c:catAx>
      <c:valAx>
        <c:axId val="304996864"/>
        <c:scaling>
          <c:orientation val="minMax"/>
        </c:scaling>
        <c:delete val="0"/>
        <c:axPos val="l"/>
        <c:majorGridlines/>
        <c:numFmt formatCode="General" sourceLinked="1"/>
        <c:majorTickMark val="out"/>
        <c:minorTickMark val="none"/>
        <c:tickLblPos val="nextTo"/>
        <c:crossAx val="131836080"/>
        <c:crosses val="autoZero"/>
        <c:crossBetween val="between"/>
      </c:valAx>
      <c:valAx>
        <c:axId val="382736112"/>
        <c:scaling>
          <c:orientation val="minMax"/>
          <c:max val="100"/>
        </c:scaling>
        <c:delete val="0"/>
        <c:axPos val="r"/>
        <c:numFmt formatCode="General" sourceLinked="1"/>
        <c:majorTickMark val="out"/>
        <c:minorTickMark val="none"/>
        <c:tickLblPos val="nextTo"/>
        <c:crossAx val="406843408"/>
        <c:crosses val="max"/>
        <c:crossBetween val="between"/>
      </c:valAx>
      <c:catAx>
        <c:axId val="406843408"/>
        <c:scaling>
          <c:orientation val="minMax"/>
        </c:scaling>
        <c:delete val="1"/>
        <c:axPos val="b"/>
        <c:numFmt formatCode="General" sourceLinked="1"/>
        <c:majorTickMark val="out"/>
        <c:minorTickMark val="none"/>
        <c:tickLblPos val="nextTo"/>
        <c:crossAx val="382736112"/>
        <c:crosses val="autoZero"/>
        <c:auto val="1"/>
        <c:lblAlgn val="ctr"/>
        <c:lblOffset val="100"/>
        <c:noMultiLvlLbl val="0"/>
      </c:catAx>
    </c:plotArea>
    <c:legend>
      <c:legendPos val="r"/>
      <c:layout>
        <c:manualLayout>
          <c:xMode val="edge"/>
          <c:yMode val="edge"/>
          <c:x val="0.64182194616977228"/>
          <c:y val="0.17708340414282744"/>
          <c:w val="0.34161490683229812"/>
          <c:h val="0.6894303140165033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Figure</a:t>
            </a:r>
            <a:r>
              <a:rPr lang="en-US" sz="1400" baseline="0"/>
              <a:t> 1b. Pupil performance in Hackney </a:t>
            </a:r>
            <a:endParaRPr lang="en-US" sz="1400"/>
          </a:p>
        </c:rich>
      </c:tx>
      <c:overlay val="0"/>
    </c:title>
    <c:autoTitleDeleted val="0"/>
    <c:plotArea>
      <c:layout/>
      <c:lineChart>
        <c:grouping val="standard"/>
        <c:varyColors val="0"/>
        <c:ser>
          <c:idx val="1"/>
          <c:order val="0"/>
          <c:tx>
            <c:strRef>
              <c:f>'New Figures'!$B$5</c:f>
              <c:strCache>
                <c:ptCount val="1"/>
                <c:pt idx="0">
                  <c:v>Hackney (sum of three subjects)</c:v>
                </c:pt>
              </c:strCache>
            </c:strRef>
          </c:tx>
          <c:marker>
            <c:symbol val="none"/>
          </c:marker>
          <c:cat>
            <c:numRef>
              <c:f>'New Figures'!$A$6:$A$24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Figures'!$B$6:$B$24</c:f>
              <c:numCache>
                <c:formatCode>General</c:formatCode>
                <c:ptCount val="19"/>
                <c:pt idx="0">
                  <c:v>115.1</c:v>
                </c:pt>
                <c:pt idx="1">
                  <c:v>149</c:v>
                </c:pt>
                <c:pt idx="2">
                  <c:v>153</c:v>
                </c:pt>
                <c:pt idx="3">
                  <c:v>167.4</c:v>
                </c:pt>
                <c:pt idx="4">
                  <c:v>197.1</c:v>
                </c:pt>
                <c:pt idx="5">
                  <c:v>203.8</c:v>
                </c:pt>
                <c:pt idx="6">
                  <c:v>208.8</c:v>
                </c:pt>
                <c:pt idx="7">
                  <c:v>197.3</c:v>
                </c:pt>
                <c:pt idx="8">
                  <c:v>210</c:v>
                </c:pt>
                <c:pt idx="9">
                  <c:v>209</c:v>
                </c:pt>
                <c:pt idx="10">
                  <c:v>210</c:v>
                </c:pt>
                <c:pt idx="11">
                  <c:v>216</c:v>
                </c:pt>
                <c:pt idx="12">
                  <c:v>228</c:v>
                </c:pt>
                <c:pt idx="13">
                  <c:v>226</c:v>
                </c:pt>
              </c:numCache>
            </c:numRef>
          </c:val>
          <c:smooth val="0"/>
          <c:extLst>
            <c:ext xmlns:c16="http://schemas.microsoft.com/office/drawing/2014/chart" uri="{C3380CC4-5D6E-409C-BE32-E72D297353CC}">
              <c16:uniqueId val="{00000000-8AB1-4B31-9DA9-89D09D7AED99}"/>
            </c:ext>
          </c:extLst>
        </c:ser>
        <c:ser>
          <c:idx val="2"/>
          <c:order val="1"/>
          <c:tx>
            <c:strRef>
              <c:f>'New Figures'!$C$5</c:f>
              <c:strCache>
                <c:ptCount val="1"/>
                <c:pt idx="0">
                  <c:v>National (sum of three subjects)</c:v>
                </c:pt>
              </c:strCache>
            </c:strRef>
          </c:tx>
          <c:marker>
            <c:symbol val="none"/>
          </c:marker>
          <c:cat>
            <c:numRef>
              <c:f>'New Figures'!$A$6:$A$24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Figures'!$C$6:$C$24</c:f>
              <c:numCache>
                <c:formatCode>General</c:formatCode>
                <c:ptCount val="19"/>
                <c:pt idx="0">
                  <c:v>170.7</c:v>
                </c:pt>
                <c:pt idx="1">
                  <c:v>191.9</c:v>
                </c:pt>
                <c:pt idx="2">
                  <c:v>190.6</c:v>
                </c:pt>
                <c:pt idx="3">
                  <c:v>215.8</c:v>
                </c:pt>
                <c:pt idx="4">
                  <c:v>231</c:v>
                </c:pt>
                <c:pt idx="5">
                  <c:v>233</c:v>
                </c:pt>
                <c:pt idx="6">
                  <c:v>234</c:v>
                </c:pt>
                <c:pt idx="7">
                  <c:v>234</c:v>
                </c:pt>
                <c:pt idx="8">
                  <c:v>237</c:v>
                </c:pt>
                <c:pt idx="9">
                  <c:v>240</c:v>
                </c:pt>
                <c:pt idx="10">
                  <c:v>242</c:v>
                </c:pt>
                <c:pt idx="11">
                  <c:v>245</c:v>
                </c:pt>
                <c:pt idx="12">
                  <c:v>248</c:v>
                </c:pt>
                <c:pt idx="13">
                  <c:v>247</c:v>
                </c:pt>
              </c:numCache>
            </c:numRef>
          </c:val>
          <c:smooth val="0"/>
          <c:extLst>
            <c:ext xmlns:c16="http://schemas.microsoft.com/office/drawing/2014/chart" uri="{C3380CC4-5D6E-409C-BE32-E72D297353CC}">
              <c16:uniqueId val="{00000001-8AB1-4B31-9DA9-89D09D7AED99}"/>
            </c:ext>
          </c:extLst>
        </c:ser>
        <c:dLbls>
          <c:showLegendKey val="0"/>
          <c:showVal val="0"/>
          <c:showCatName val="0"/>
          <c:showSerName val="0"/>
          <c:showPercent val="0"/>
          <c:showBubbleSize val="0"/>
        </c:dLbls>
        <c:marker val="1"/>
        <c:smooth val="0"/>
        <c:axId val="372120464"/>
        <c:axId val="372121024"/>
      </c:lineChart>
      <c:lineChart>
        <c:grouping val="standard"/>
        <c:varyColors val="0"/>
        <c:ser>
          <c:idx val="3"/>
          <c:order val="2"/>
          <c:tx>
            <c:strRef>
              <c:f>'New Figures'!$D$5</c:f>
              <c:strCache>
                <c:ptCount val="1"/>
                <c:pt idx="0">
                  <c:v>Hackney (proficient in math and reading) </c:v>
                </c:pt>
              </c:strCache>
            </c:strRef>
          </c:tx>
          <c:marker>
            <c:symbol val="none"/>
          </c:marker>
          <c:cat>
            <c:numRef>
              <c:f>'New Figures'!$A$6:$A$24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Figures'!$D$6:$D$24</c:f>
              <c:numCache>
                <c:formatCode>General</c:formatCode>
                <c:ptCount val="19"/>
                <c:pt idx="11">
                  <c:v>59</c:v>
                </c:pt>
                <c:pt idx="12">
                  <c:v>65</c:v>
                </c:pt>
                <c:pt idx="13">
                  <c:v>64</c:v>
                </c:pt>
                <c:pt idx="14">
                  <c:v>71</c:v>
                </c:pt>
                <c:pt idx="15">
                  <c:v>76</c:v>
                </c:pt>
                <c:pt idx="16">
                  <c:v>74</c:v>
                </c:pt>
                <c:pt idx="17">
                  <c:v>75</c:v>
                </c:pt>
                <c:pt idx="18">
                  <c:v>79</c:v>
                </c:pt>
              </c:numCache>
            </c:numRef>
          </c:val>
          <c:smooth val="0"/>
          <c:extLst>
            <c:ext xmlns:c16="http://schemas.microsoft.com/office/drawing/2014/chart" uri="{C3380CC4-5D6E-409C-BE32-E72D297353CC}">
              <c16:uniqueId val="{00000002-8AB1-4B31-9DA9-89D09D7AED99}"/>
            </c:ext>
          </c:extLst>
        </c:ser>
        <c:ser>
          <c:idx val="4"/>
          <c:order val="3"/>
          <c:tx>
            <c:strRef>
              <c:f>'New Figures'!$E$5</c:f>
              <c:strCache>
                <c:ptCount val="1"/>
                <c:pt idx="0">
                  <c:v>National (proficient in math and reading) </c:v>
                </c:pt>
              </c:strCache>
            </c:strRef>
          </c:tx>
          <c:marker>
            <c:symbol val="none"/>
          </c:marker>
          <c:cat>
            <c:numRef>
              <c:f>'New Figures'!$A$6:$A$24</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'New Figures'!$E$6:$E$24</c:f>
              <c:numCache>
                <c:formatCode>General</c:formatCode>
                <c:ptCount val="19"/>
                <c:pt idx="11">
                  <c:v>71</c:v>
                </c:pt>
                <c:pt idx="12">
                  <c:v>73</c:v>
                </c:pt>
                <c:pt idx="13">
                  <c:v>72</c:v>
                </c:pt>
                <c:pt idx="14">
                  <c:v>75</c:v>
                </c:pt>
                <c:pt idx="15">
                  <c:v>75</c:v>
                </c:pt>
                <c:pt idx="16">
                  <c:v>75</c:v>
                </c:pt>
                <c:pt idx="17">
                  <c:v>76</c:v>
                </c:pt>
                <c:pt idx="18">
                  <c:v>79</c:v>
                </c:pt>
              </c:numCache>
            </c:numRef>
          </c:val>
          <c:smooth val="0"/>
          <c:extLst>
            <c:ext xmlns:c16="http://schemas.microsoft.com/office/drawing/2014/chart" uri="{C3380CC4-5D6E-409C-BE32-E72D297353CC}">
              <c16:uniqueId val="{00000003-8AB1-4B31-9DA9-89D09D7AED99}"/>
            </c:ext>
          </c:extLst>
        </c:ser>
        <c:dLbls>
          <c:showLegendKey val="0"/>
          <c:showVal val="0"/>
          <c:showCatName val="0"/>
          <c:showSerName val="0"/>
          <c:showPercent val="0"/>
          <c:showBubbleSize val="0"/>
        </c:dLbls>
        <c:marker val="1"/>
        <c:smooth val="0"/>
        <c:axId val="372122144"/>
        <c:axId val="372121584"/>
      </c:lineChart>
      <c:catAx>
        <c:axId val="372120464"/>
        <c:scaling>
          <c:orientation val="minMax"/>
        </c:scaling>
        <c:delete val="0"/>
        <c:axPos val="b"/>
        <c:numFmt formatCode="General" sourceLinked="1"/>
        <c:majorTickMark val="out"/>
        <c:minorTickMark val="none"/>
        <c:tickLblPos val="nextTo"/>
        <c:crossAx val="372121024"/>
        <c:crosses val="autoZero"/>
        <c:auto val="1"/>
        <c:lblAlgn val="ctr"/>
        <c:lblOffset val="100"/>
        <c:noMultiLvlLbl val="0"/>
      </c:catAx>
      <c:valAx>
        <c:axId val="372121024"/>
        <c:scaling>
          <c:orientation val="minMax"/>
        </c:scaling>
        <c:delete val="0"/>
        <c:axPos val="l"/>
        <c:majorGridlines/>
        <c:numFmt formatCode="General" sourceLinked="1"/>
        <c:majorTickMark val="out"/>
        <c:minorTickMark val="none"/>
        <c:tickLblPos val="nextTo"/>
        <c:crossAx val="372120464"/>
        <c:crosses val="autoZero"/>
        <c:crossBetween val="between"/>
      </c:valAx>
      <c:valAx>
        <c:axId val="372121584"/>
        <c:scaling>
          <c:orientation val="minMax"/>
          <c:max val="100"/>
        </c:scaling>
        <c:delete val="0"/>
        <c:axPos val="r"/>
        <c:numFmt formatCode="General" sourceLinked="1"/>
        <c:majorTickMark val="out"/>
        <c:minorTickMark val="none"/>
        <c:tickLblPos val="nextTo"/>
        <c:crossAx val="372122144"/>
        <c:crosses val="max"/>
        <c:crossBetween val="between"/>
      </c:valAx>
      <c:catAx>
        <c:axId val="372122144"/>
        <c:scaling>
          <c:orientation val="minMax"/>
        </c:scaling>
        <c:delete val="1"/>
        <c:axPos val="b"/>
        <c:numFmt formatCode="General" sourceLinked="1"/>
        <c:majorTickMark val="out"/>
        <c:minorTickMark val="none"/>
        <c:tickLblPos val="nextTo"/>
        <c:crossAx val="372121584"/>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Percent of primary school students with English as an additional language</a:t>
            </a:r>
            <a:r>
              <a:rPr lang="en-US" baseline="0"/>
              <a:t>  (EAL) </a:t>
            </a:r>
            <a:endParaRPr lang="en-US"/>
          </a:p>
        </c:rich>
      </c:tx>
      <c:overlay val="0"/>
      <c:spPr>
        <a:noFill/>
        <a:ln>
          <a:noFill/>
        </a:ln>
        <a:effectLst/>
      </c:spPr>
    </c:title>
    <c:autoTitleDeleted val="0"/>
    <c:plotArea>
      <c:layout/>
      <c:lineChart>
        <c:grouping val="standard"/>
        <c:varyColors val="0"/>
        <c:ser>
          <c:idx val="1"/>
          <c:order val="1"/>
          <c:tx>
            <c:strRef>
              <c:f>'[Demographic  and test score data Hackney and Tower Hamlets.xlsx]EAL'!$C$22</c:f>
              <c:strCache>
                <c:ptCount val="1"/>
                <c:pt idx="0">
                  <c:v>Hackney</c:v>
                </c:pt>
              </c:strCache>
            </c:strRef>
          </c:tx>
          <c:spPr>
            <a:ln w="28575" cap="rnd">
              <a:solidFill>
                <a:schemeClr val="accent2"/>
              </a:solidFill>
              <a:round/>
            </a:ln>
            <a:effectLst/>
          </c:spPr>
          <c:marker>
            <c:symbol val="none"/>
          </c:marker>
          <c:cat>
            <c:numRef>
              <c:f>'[Demographic  and test score data Hackney and Tower Hamlets.xlsx]EAL'!$A$23:$A$33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'[Demographic  and test score data Hackney and Tower Hamlets.xlsx]EAL'!$C$23:$C$33</c:f>
              <c:numCache>
                <c:formatCode>General</c:formatCode>
                <c:ptCount val="11"/>
                <c:pt idx="0">
                  <c:v>55</c:v>
                </c:pt>
                <c:pt idx="1">
                  <c:v>55.6</c:v>
                </c:pt>
                <c:pt idx="2">
                  <c:v>52.5</c:v>
                </c:pt>
                <c:pt idx="3">
                  <c:v>53.6</c:v>
                </c:pt>
                <c:pt idx="4">
                  <c:v>53.9</c:v>
                </c:pt>
                <c:pt idx="5">
                  <c:v>53.8</c:v>
                </c:pt>
                <c:pt idx="6">
                  <c:v>54.5</c:v>
                </c:pt>
                <c:pt idx="7">
                  <c:v>54.6</c:v>
                </c:pt>
                <c:pt idx="8">
                  <c:v>55.7</c:v>
                </c:pt>
                <c:pt idx="9">
                  <c:v>56.3</c:v>
                </c:pt>
                <c:pt idx="10">
                  <c:v>55.5</c:v>
                </c:pt>
              </c:numCache>
            </c:numRef>
          </c:val>
          <c:smooth val="0"/>
          <c:extLst>
            <c:ext xmlns:c16="http://schemas.microsoft.com/office/drawing/2014/chart" uri="{C3380CC4-5D6E-409C-BE32-E72D297353CC}">
              <c16:uniqueId val="{00000000-6C02-4ED1-96DC-7EB77C2E7776}"/>
            </c:ext>
          </c:extLst>
        </c:ser>
        <c:ser>
          <c:idx val="2"/>
          <c:order val="2"/>
          <c:tx>
            <c:strRef>
              <c:f>'[Demographic  and test score data Hackney and Tower Hamlets.xlsx]EAL'!$D$22</c:f>
              <c:strCache>
                <c:ptCount val="1"/>
                <c:pt idx="0">
                  <c:v>Tower Hamlets</c:v>
                </c:pt>
              </c:strCache>
            </c:strRef>
          </c:tx>
          <c:spPr>
            <a:ln w="28575" cap="rnd">
              <a:solidFill>
                <a:schemeClr val="accent3"/>
              </a:solidFill>
              <a:round/>
            </a:ln>
            <a:effectLst/>
          </c:spPr>
          <c:marker>
            <c:symbol val="none"/>
          </c:marker>
          <c:cat>
            <c:numRef>
              <c:f>'[Demographic  and test score data Hackney and Tower Hamlets.xlsx]EAL'!$A$23:$A$33</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'[Demographic  and test score data Hackney and Tower Hamlets.xlsx]EAL'!$D$23:$D$33</c:f>
              <c:numCache>
                <c:formatCode>General</c:formatCode>
                <c:ptCount val="11"/>
                <c:pt idx="0">
                  <c:v>72.2</c:v>
                </c:pt>
                <c:pt idx="1">
                  <c:v>75.599999999999994</c:v>
                </c:pt>
                <c:pt idx="2">
                  <c:v>74.5</c:v>
                </c:pt>
                <c:pt idx="3">
                  <c:v>77</c:v>
                </c:pt>
                <c:pt idx="4">
                  <c:v>76.099999999999994</c:v>
                </c:pt>
                <c:pt idx="5">
                  <c:v>76.8</c:v>
                </c:pt>
                <c:pt idx="6">
                  <c:v>77.599999999999994</c:v>
                </c:pt>
                <c:pt idx="7">
                  <c:v>78.5</c:v>
                </c:pt>
                <c:pt idx="8">
                  <c:v>77.900000000000006</c:v>
                </c:pt>
                <c:pt idx="9">
                  <c:v>77.400000000000006</c:v>
                </c:pt>
                <c:pt idx="10">
                  <c:v>75.2</c:v>
                </c:pt>
              </c:numCache>
            </c:numRef>
          </c:val>
          <c:smooth val="0"/>
          <c:extLst>
            <c:ext xmlns:c16="http://schemas.microsoft.com/office/drawing/2014/chart" uri="{C3380CC4-5D6E-409C-BE32-E72D297353CC}">
              <c16:uniqueId val="{00000001-6C02-4ED1-96DC-7EB77C2E7776}"/>
            </c:ext>
          </c:extLst>
        </c:ser>
        <c:dLbls>
          <c:showLegendKey val="0"/>
          <c:showVal val="0"/>
          <c:showCatName val="0"/>
          <c:showSerName val="0"/>
          <c:showPercent val="0"/>
          <c:showBubbleSize val="0"/>
        </c:dLbls>
        <c:smooth val="0"/>
        <c:axId val="377565328"/>
        <c:axId val="377565888"/>
        <c:extLst>
          <c:ext xmlns:c15="http://schemas.microsoft.com/office/drawing/2012/chart" uri="{02D57815-91ED-43cb-92C2-25804820EDAC}">
            <c15:filteredLineSeries>
              <c15:ser>
                <c:idx val="0"/>
                <c:order val="0"/>
                <c:tx>
                  <c:strRef>
                    <c:extLst>
                      <c:ext uri="{02D57815-91ED-43cb-92C2-25804820EDAC}">
                        <c15:formulaRef>
                          <c15:sqref>'[Demographic  and test score data Hackney and Tower Hamlets.xlsx]EAL'!$B$22</c15:sqref>
                        </c15:formulaRef>
                      </c:ext>
                    </c:extLst>
                    <c:strCache>
                      <c:ptCount val="1"/>
                    </c:strCache>
                  </c:strRef>
                </c:tx>
                <c:spPr>
                  <a:ln w="28575" cap="rnd">
                    <a:solidFill>
                      <a:schemeClr val="accent1"/>
                    </a:solidFill>
                    <a:round/>
                  </a:ln>
                  <a:effectLst/>
                </c:spPr>
                <c:marker>
                  <c:symbol val="none"/>
                </c:marker>
                <c:cat>
                  <c:numRef>
                    <c:extLst>
                      <c:ext uri="{02D57815-91ED-43cb-92C2-25804820EDAC}">
                        <c15:formulaRef>
                          <c15:sqref>'[Demographic  and test score data Hackney and Tower Hamlets.xlsx]EAL'!$A$23:$A$33</c15:sqref>
                        </c15:formulaRef>
                      </c:ext>
                    </c:extLst>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extLst>
                      <c:ext uri="{02D57815-91ED-43cb-92C2-25804820EDAC}">
                        <c15:formulaRef>
                          <c15:sqref>'[Demographic  and test score data Hackney and Tower Hamlets.xlsx]EAL'!$B$23:$B$33</c15:sqref>
                        </c15:formulaRef>
                      </c:ext>
                    </c:extLst>
                    <c:numCache>
                      <c:formatCode>General</c:formatCode>
                      <c:ptCount val="11"/>
                    </c:numCache>
                  </c:numRef>
                </c:val>
                <c:smooth val="0"/>
                <c:extLst>
                  <c:ext xmlns:c16="http://schemas.microsoft.com/office/drawing/2014/chart" uri="{C3380CC4-5D6E-409C-BE32-E72D297353CC}">
                    <c16:uniqueId val="{00000002-6C02-4ED1-96DC-7EB77C2E7776}"/>
                  </c:ext>
                </c:extLst>
              </c15:ser>
            </c15:filteredLineSeries>
          </c:ext>
        </c:extLst>
      </c:lineChart>
      <c:catAx>
        <c:axId val="37756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565888"/>
        <c:crosses val="autoZero"/>
        <c:auto val="1"/>
        <c:lblAlgn val="ctr"/>
        <c:lblOffset val="100"/>
        <c:noMultiLvlLbl val="0"/>
      </c:catAx>
      <c:valAx>
        <c:axId val="37756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EAL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56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Percent of primary school students</a:t>
            </a:r>
          </a:p>
          <a:p>
            <a:pPr>
              <a:defRPr sz="1400" b="0" i="0" u="none" strike="noStrike" kern="1200" spc="0" baseline="0">
                <a:solidFill>
                  <a:schemeClr val="tx1">
                    <a:lumMod val="65000"/>
                    <a:lumOff val="35000"/>
                  </a:schemeClr>
                </a:solidFill>
                <a:latin typeface="+mn-lt"/>
                <a:ea typeface="+mn-ea"/>
                <a:cs typeface="+mn-cs"/>
              </a:defRPr>
            </a:pPr>
            <a:r>
              <a:rPr lang="en-US"/>
              <a:t> eligible for FSM, by year </a:t>
            </a:r>
          </a:p>
        </c:rich>
      </c:tx>
      <c:layout>
        <c:manualLayout>
          <c:xMode val="edge"/>
          <c:yMode val="edge"/>
          <c:x val="0.16276411124884335"/>
          <c:y val="0"/>
        </c:manualLayout>
      </c:layout>
      <c:overlay val="0"/>
      <c:spPr>
        <a:noFill/>
        <a:ln>
          <a:noFill/>
        </a:ln>
        <a:effectLst/>
      </c:spPr>
    </c:title>
    <c:autoTitleDeleted val="0"/>
    <c:plotArea>
      <c:layout/>
      <c:lineChart>
        <c:grouping val="standard"/>
        <c:varyColors val="0"/>
        <c:ser>
          <c:idx val="1"/>
          <c:order val="1"/>
          <c:tx>
            <c:strRef>
              <c:f>FSM!$C$2</c:f>
              <c:strCache>
                <c:ptCount val="1"/>
                <c:pt idx="0">
                  <c:v>Hackney</c:v>
                </c:pt>
              </c:strCache>
            </c:strRef>
          </c:tx>
          <c:spPr>
            <a:ln w="28575" cap="rnd">
              <a:solidFill>
                <a:schemeClr val="accent2"/>
              </a:solidFill>
              <a:round/>
            </a:ln>
            <a:effectLst/>
          </c:spPr>
          <c:marker>
            <c:symbol val="none"/>
          </c:marker>
          <c:cat>
            <c:numRef>
              <c:f>FSM!$A$3:$A$21</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FSM!$C$3:$C$21</c:f>
              <c:numCache>
                <c:formatCode>0.0</c:formatCode>
                <c:ptCount val="19"/>
                <c:pt idx="0">
                  <c:v>56.4</c:v>
                </c:pt>
                <c:pt idx="1">
                  <c:v>58.5</c:v>
                </c:pt>
                <c:pt idx="2">
                  <c:v>56</c:v>
                </c:pt>
                <c:pt idx="3">
                  <c:v>49.4</c:v>
                </c:pt>
                <c:pt idx="4">
                  <c:v>46.1</c:v>
                </c:pt>
                <c:pt idx="5">
                  <c:v>43.9</c:v>
                </c:pt>
                <c:pt idx="6">
                  <c:v>41.1</c:v>
                </c:pt>
                <c:pt idx="7">
                  <c:v>42.8</c:v>
                </c:pt>
                <c:pt idx="8">
                  <c:v>42.4</c:v>
                </c:pt>
                <c:pt idx="9">
                  <c:v>42.4</c:v>
                </c:pt>
                <c:pt idx="10">
                  <c:v>42.3</c:v>
                </c:pt>
                <c:pt idx="11">
                  <c:v>40.200000000000003</c:v>
                </c:pt>
                <c:pt idx="12">
                  <c:v>39.799999999999997</c:v>
                </c:pt>
                <c:pt idx="13">
                  <c:v>39.6</c:v>
                </c:pt>
                <c:pt idx="14">
                  <c:v>37.9</c:v>
                </c:pt>
                <c:pt idx="15">
                  <c:v>38.299999999999997</c:v>
                </c:pt>
                <c:pt idx="16">
                  <c:v>37.799999999999997</c:v>
                </c:pt>
                <c:pt idx="17">
                  <c:v>36.6</c:v>
                </c:pt>
                <c:pt idx="18">
                  <c:v>35</c:v>
                </c:pt>
              </c:numCache>
            </c:numRef>
          </c:val>
          <c:smooth val="0"/>
          <c:extLst>
            <c:ext xmlns:c16="http://schemas.microsoft.com/office/drawing/2014/chart" uri="{C3380CC4-5D6E-409C-BE32-E72D297353CC}">
              <c16:uniqueId val="{00000000-1A4D-4281-A8FF-C3746E8DA8EC}"/>
            </c:ext>
          </c:extLst>
        </c:ser>
        <c:ser>
          <c:idx val="2"/>
          <c:order val="2"/>
          <c:tx>
            <c:strRef>
              <c:f>FSM!$D$2</c:f>
              <c:strCache>
                <c:ptCount val="1"/>
                <c:pt idx="0">
                  <c:v>Tower Hamlets </c:v>
                </c:pt>
              </c:strCache>
            </c:strRef>
          </c:tx>
          <c:spPr>
            <a:ln w="28575" cap="rnd">
              <a:solidFill>
                <a:schemeClr val="accent3"/>
              </a:solidFill>
              <a:round/>
            </a:ln>
            <a:effectLst/>
          </c:spPr>
          <c:marker>
            <c:symbol val="none"/>
          </c:marker>
          <c:cat>
            <c:numRef>
              <c:f>FSM!$A$3:$A$21</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FSM!$D$3:$D$21</c:f>
              <c:numCache>
                <c:formatCode>0.0</c:formatCode>
                <c:ptCount val="19"/>
                <c:pt idx="0">
                  <c:v>61.5</c:v>
                </c:pt>
                <c:pt idx="1">
                  <c:v>66.400000000000006</c:v>
                </c:pt>
                <c:pt idx="2">
                  <c:v>60.7</c:v>
                </c:pt>
                <c:pt idx="3">
                  <c:v>59.5</c:v>
                </c:pt>
                <c:pt idx="4">
                  <c:v>56.9</c:v>
                </c:pt>
                <c:pt idx="5">
                  <c:v>57.5</c:v>
                </c:pt>
                <c:pt idx="6">
                  <c:v>56.7</c:v>
                </c:pt>
                <c:pt idx="7">
                  <c:v>53.5</c:v>
                </c:pt>
                <c:pt idx="8">
                  <c:v>54.9</c:v>
                </c:pt>
                <c:pt idx="9">
                  <c:v>55.5</c:v>
                </c:pt>
                <c:pt idx="10">
                  <c:v>56.1</c:v>
                </c:pt>
                <c:pt idx="11">
                  <c:v>54</c:v>
                </c:pt>
                <c:pt idx="12">
                  <c:v>54.4</c:v>
                </c:pt>
                <c:pt idx="13">
                  <c:v>52.6</c:v>
                </c:pt>
                <c:pt idx="14">
                  <c:v>49.3</c:v>
                </c:pt>
                <c:pt idx="15">
                  <c:v>48.7</c:v>
                </c:pt>
                <c:pt idx="16">
                  <c:v>48</c:v>
                </c:pt>
                <c:pt idx="17">
                  <c:v>44.6</c:v>
                </c:pt>
                <c:pt idx="18">
                  <c:v>43.7</c:v>
                </c:pt>
              </c:numCache>
            </c:numRef>
          </c:val>
          <c:smooth val="0"/>
          <c:extLst>
            <c:ext xmlns:c16="http://schemas.microsoft.com/office/drawing/2014/chart" uri="{C3380CC4-5D6E-409C-BE32-E72D297353CC}">
              <c16:uniqueId val="{00000001-1A4D-4281-A8FF-C3746E8DA8EC}"/>
            </c:ext>
          </c:extLst>
        </c:ser>
        <c:ser>
          <c:idx val="3"/>
          <c:order val="3"/>
          <c:tx>
            <c:strRef>
              <c:f>FSM!$E$2</c:f>
              <c:strCache>
                <c:ptCount val="1"/>
                <c:pt idx="0">
                  <c:v>National  </c:v>
                </c:pt>
              </c:strCache>
            </c:strRef>
          </c:tx>
          <c:spPr>
            <a:ln w="28575" cap="rnd">
              <a:solidFill>
                <a:schemeClr val="accent4"/>
              </a:solidFill>
              <a:round/>
            </a:ln>
            <a:effectLst/>
          </c:spPr>
          <c:marker>
            <c:symbol val="none"/>
          </c:marker>
          <c:cat>
            <c:numRef>
              <c:f>FSM!$A$3:$A$21</c:f>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f>FSM!$E$3:$E$21</c:f>
              <c:numCache>
                <c:formatCode>0.0</c:formatCode>
                <c:ptCount val="19"/>
                <c:pt idx="0">
                  <c:v>22.9</c:v>
                </c:pt>
                <c:pt idx="1">
                  <c:v>23</c:v>
                </c:pt>
                <c:pt idx="2">
                  <c:v>21.9</c:v>
                </c:pt>
                <c:pt idx="3">
                  <c:v>20.6</c:v>
                </c:pt>
                <c:pt idx="4">
                  <c:v>19.7</c:v>
                </c:pt>
                <c:pt idx="5">
                  <c:v>19</c:v>
                </c:pt>
                <c:pt idx="6">
                  <c:v>18.3</c:v>
                </c:pt>
                <c:pt idx="7">
                  <c:v>17.899999999999999</c:v>
                </c:pt>
                <c:pt idx="8">
                  <c:v>17.5</c:v>
                </c:pt>
                <c:pt idx="9">
                  <c:v>17.899999999999999</c:v>
                </c:pt>
                <c:pt idx="10">
                  <c:v>17.5</c:v>
                </c:pt>
                <c:pt idx="11">
                  <c:v>16.600000000000001</c:v>
                </c:pt>
                <c:pt idx="12">
                  <c:v>16.399999999999999</c:v>
                </c:pt>
                <c:pt idx="13">
                  <c:v>16.100000000000001</c:v>
                </c:pt>
                <c:pt idx="14">
                  <c:v>16.600000000000001</c:v>
                </c:pt>
                <c:pt idx="15">
                  <c:v>18</c:v>
                </c:pt>
                <c:pt idx="16">
                  <c:v>18.7</c:v>
                </c:pt>
                <c:pt idx="17">
                  <c:v>18.8</c:v>
                </c:pt>
                <c:pt idx="18">
                  <c:v>18.7</c:v>
                </c:pt>
              </c:numCache>
            </c:numRef>
          </c:val>
          <c:smooth val="0"/>
          <c:extLst>
            <c:ext xmlns:c16="http://schemas.microsoft.com/office/drawing/2014/chart" uri="{C3380CC4-5D6E-409C-BE32-E72D297353CC}">
              <c16:uniqueId val="{00000002-1A4D-4281-A8FF-C3746E8DA8EC}"/>
            </c:ext>
          </c:extLst>
        </c:ser>
        <c:dLbls>
          <c:showLegendKey val="0"/>
          <c:showVal val="0"/>
          <c:showCatName val="0"/>
          <c:showSerName val="0"/>
          <c:showPercent val="0"/>
          <c:showBubbleSize val="0"/>
        </c:dLbls>
        <c:smooth val="0"/>
        <c:axId val="133455664"/>
        <c:axId val="133456224"/>
        <c:extLst>
          <c:ext xmlns:c15="http://schemas.microsoft.com/office/drawing/2012/chart" uri="{02D57815-91ED-43cb-92C2-25804820EDAC}">
            <c15:filteredLineSeries>
              <c15:ser>
                <c:idx val="0"/>
                <c:order val="0"/>
                <c:tx>
                  <c:strRef>
                    <c:extLst>
                      <c:ext uri="{02D57815-91ED-43cb-92C2-25804820EDAC}">
                        <c15:formulaRef>
                          <c15:sqref>FSM!$B$2</c15:sqref>
                        </c15:formulaRef>
                      </c:ext>
                    </c:extLst>
                    <c:strCache>
                      <c:ptCount val="1"/>
                    </c:strCache>
                  </c:strRef>
                </c:tx>
                <c:spPr>
                  <a:ln w="28575" cap="rnd">
                    <a:solidFill>
                      <a:schemeClr val="accent1"/>
                    </a:solidFill>
                    <a:round/>
                  </a:ln>
                  <a:effectLst/>
                </c:spPr>
                <c:marker>
                  <c:symbol val="none"/>
                </c:marker>
                <c:cat>
                  <c:numRef>
                    <c:extLst>
                      <c:ext uri="{02D57815-91ED-43cb-92C2-25804820EDAC}">
                        <c15:formulaRef>
                          <c15:sqref>FSM!$A$3:$A$21</c15:sqref>
                        </c15:formulaRef>
                      </c:ext>
                    </c:extLst>
                    <c:numCache>
                      <c:formatCode>General</c:formatCode>
                      <c:ptCount val="1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numCache>
                  </c:numRef>
                </c:cat>
                <c:val>
                  <c:numRef>
                    <c:extLst>
                      <c:ext uri="{02D57815-91ED-43cb-92C2-25804820EDAC}">
                        <c15:formulaRef>
                          <c15:sqref>FSM!$B$3:$B$21</c15:sqref>
                        </c15:formulaRef>
                      </c:ext>
                    </c:extLst>
                    <c:numCache>
                      <c:formatCode>General</c:formatCode>
                      <c:ptCount val="19"/>
                    </c:numCache>
                  </c:numRef>
                </c:val>
                <c:smooth val="0"/>
                <c:extLst>
                  <c:ext xmlns:c16="http://schemas.microsoft.com/office/drawing/2014/chart" uri="{C3380CC4-5D6E-409C-BE32-E72D297353CC}">
                    <c16:uniqueId val="{00000003-1A4D-4281-A8FF-C3746E8DA8EC}"/>
                  </c:ext>
                </c:extLst>
              </c15:ser>
            </c15:filteredLineSeries>
          </c:ext>
        </c:extLst>
      </c:lineChart>
      <c:catAx>
        <c:axId val="133455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r>
                  <a:rPr lang="en-US"/>
                  <a:t>Year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56224"/>
        <c:crosses val="autoZero"/>
        <c:auto val="1"/>
        <c:lblAlgn val="ctr"/>
        <c:lblOffset val="100"/>
        <c:noMultiLvlLbl val="0"/>
      </c:catAx>
      <c:valAx>
        <c:axId val="133456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students</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45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EA2C-EAB3-4FB2-A556-AA324ECD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16153</Words>
  <Characters>92077</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Duke Univeristy</Company>
  <LinksUpToDate>false</LinksUpToDate>
  <CharactersWithSpaces>108014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Ladd</dc:creator>
  <cp:lastModifiedBy>Nancy Danhof</cp:lastModifiedBy>
  <cp:revision>4</cp:revision>
  <cp:lastPrinted>2016-01-02T15:37:00Z</cp:lastPrinted>
  <dcterms:created xsi:type="dcterms:W3CDTF">2016-11-10T22:11:00Z</dcterms:created>
  <dcterms:modified xsi:type="dcterms:W3CDTF">2023-09-08T10:33:00Z</dcterms:modified>
</cp:coreProperties>
</file>